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845" w:type="dxa"/>
        <w:jc w:val="center"/>
        <w:tblInd w:w="0" w:type="dxa"/>
        <w:tblLayout w:type="fixed"/>
        <w:tblCellMar>
          <w:top w:w="0" w:type="dxa"/>
          <w:left w:w="28" w:type="dxa"/>
          <w:bottom w:w="0" w:type="dxa"/>
          <w:right w:w="28" w:type="dxa"/>
        </w:tblCellMar>
      </w:tblPr>
      <w:tblGrid>
        <w:gridCol w:w="8845"/>
      </w:tblGrid>
      <w:tr>
        <w:tblPrEx>
          <w:tblLayout w:type="fixed"/>
        </w:tblPrEx>
        <w:trPr>
          <w:trHeight w:val="467" w:hRule="atLeast"/>
          <w:jc w:val="center"/>
        </w:trPr>
        <w:tc>
          <w:tcPr>
            <w:tcW w:w="8845" w:type="dxa"/>
            <w:vAlign w:val="bottom"/>
          </w:tcPr>
          <w:p>
            <w:pPr>
              <w:overflowPunct w:val="0"/>
              <w:autoSpaceDE w:val="0"/>
              <w:autoSpaceDN w:val="0"/>
              <w:adjustRightInd w:val="0"/>
              <w:spacing w:before="100" w:beforeAutospacing="1" w:after="100" w:afterAutospacing="1" w:line="520" w:lineRule="exact"/>
              <w:jc w:val="right"/>
              <w:textAlignment w:val="bottom"/>
              <w:rPr>
                <w:rFonts w:eastAsia="黑体"/>
                <w:sz w:val="32"/>
              </w:rPr>
            </w:pPr>
          </w:p>
        </w:tc>
      </w:tr>
      <w:tr>
        <w:tblPrEx>
          <w:tblLayout w:type="fixed"/>
        </w:tblPrEx>
        <w:trPr>
          <w:trHeight w:val="473" w:hRule="atLeast"/>
          <w:jc w:val="center"/>
        </w:trPr>
        <w:tc>
          <w:tcPr>
            <w:tcW w:w="8845" w:type="dxa"/>
            <w:vAlign w:val="bottom"/>
          </w:tcPr>
          <w:p>
            <w:pPr>
              <w:overflowPunct w:val="0"/>
              <w:autoSpaceDE w:val="0"/>
              <w:autoSpaceDN w:val="0"/>
              <w:adjustRightInd w:val="0"/>
              <w:spacing w:before="100" w:beforeAutospacing="1" w:after="100" w:afterAutospacing="1" w:line="520" w:lineRule="exact"/>
              <w:jc w:val="right"/>
              <w:textAlignment w:val="bottom"/>
              <w:rPr>
                <w:rFonts w:eastAsia="黑体"/>
                <w:sz w:val="32"/>
              </w:rPr>
            </w:pPr>
          </w:p>
        </w:tc>
      </w:tr>
      <w:tr>
        <w:tblPrEx>
          <w:tblLayout w:type="fixed"/>
        </w:tblPrEx>
        <w:trPr>
          <w:trHeight w:val="1457" w:hRule="atLeast"/>
          <w:jc w:val="center"/>
        </w:trPr>
        <w:tc>
          <w:tcPr>
            <w:tcW w:w="8845" w:type="dxa"/>
          </w:tcPr>
          <w:p>
            <w:pPr>
              <w:spacing w:beforeLines="150" w:line="1000" w:lineRule="exact"/>
              <w:jc w:val="center"/>
              <w:rPr>
                <w:rFonts w:eastAsia="隶书"/>
                <w:color w:val="000000"/>
                <w:w w:val="80"/>
                <w:sz w:val="150"/>
                <w:szCs w:val="150"/>
              </w:rPr>
            </w:pPr>
            <w:r>
              <w:rPr>
                <w:rFonts w:hint="eastAsia" w:eastAsia="隶书"/>
                <w:color w:val="000000"/>
                <w:w w:val="80"/>
                <w:sz w:val="150"/>
                <w:szCs w:val="150"/>
              </w:rPr>
              <w:t>中国科协通报</w:t>
            </w:r>
          </w:p>
        </w:tc>
      </w:tr>
      <w:tr>
        <w:tblPrEx>
          <w:tblLayout w:type="fixed"/>
          <w:tblCellMar>
            <w:top w:w="0" w:type="dxa"/>
            <w:left w:w="28" w:type="dxa"/>
            <w:bottom w:w="0" w:type="dxa"/>
            <w:right w:w="28" w:type="dxa"/>
          </w:tblCellMar>
        </w:tblPrEx>
        <w:trPr>
          <w:trHeight w:val="567" w:hRule="atLeast"/>
          <w:jc w:val="center"/>
        </w:trPr>
        <w:tc>
          <w:tcPr>
            <w:tcW w:w="8845" w:type="dxa"/>
          </w:tcPr>
          <w:p>
            <w:pPr>
              <w:overflowPunct w:val="0"/>
              <w:autoSpaceDE w:val="0"/>
              <w:autoSpaceDN w:val="0"/>
              <w:adjustRightInd w:val="0"/>
              <w:jc w:val="center"/>
              <w:textAlignment w:val="bottom"/>
              <w:rPr>
                <w:rFonts w:ascii="楷体_GB2312" w:eastAsia="楷体_GB2312"/>
                <w:sz w:val="28"/>
                <w:szCs w:val="20"/>
              </w:rPr>
            </w:pPr>
          </w:p>
        </w:tc>
      </w:tr>
      <w:tr>
        <w:tblPrEx>
          <w:tblLayout w:type="fixed"/>
          <w:tblCellMar>
            <w:top w:w="0" w:type="dxa"/>
            <w:left w:w="28" w:type="dxa"/>
            <w:bottom w:w="0" w:type="dxa"/>
            <w:right w:w="28" w:type="dxa"/>
          </w:tblCellMar>
        </w:tblPrEx>
        <w:trPr>
          <w:trHeight w:val="567" w:hRule="atLeast"/>
          <w:jc w:val="center"/>
        </w:trPr>
        <w:tc>
          <w:tcPr>
            <w:tcW w:w="8845" w:type="dxa"/>
          </w:tcPr>
          <w:p>
            <w:pPr>
              <w:overflowPunct w:val="0"/>
              <w:autoSpaceDE w:val="0"/>
              <w:autoSpaceDN w:val="0"/>
              <w:adjustRightInd w:val="0"/>
              <w:jc w:val="center"/>
              <w:textAlignment w:val="bottom"/>
              <w:rPr>
                <w:rFonts w:ascii="仿宋_GB2312" w:eastAsia="仿宋_GB2312"/>
                <w:sz w:val="32"/>
                <w:szCs w:val="32"/>
              </w:rPr>
            </w:pPr>
            <w:r>
              <w:rPr>
                <w:rFonts w:hint="eastAsia" w:ascii="仿宋_GB2312" w:eastAsia="仿宋_GB2312"/>
                <w:sz w:val="32"/>
                <w:szCs w:val="32"/>
              </w:rPr>
              <w:t>第4期</w:t>
            </w:r>
          </w:p>
        </w:tc>
      </w:tr>
      <w:tr>
        <w:tblPrEx>
          <w:tblLayout w:type="fixed"/>
          <w:tblCellMar>
            <w:top w:w="0" w:type="dxa"/>
            <w:left w:w="28" w:type="dxa"/>
            <w:bottom w:w="0" w:type="dxa"/>
            <w:right w:w="28" w:type="dxa"/>
          </w:tblCellMar>
        </w:tblPrEx>
        <w:trPr>
          <w:trHeight w:val="511" w:hRule="atLeast"/>
          <w:jc w:val="center"/>
        </w:trPr>
        <w:tc>
          <w:tcPr>
            <w:tcW w:w="8845" w:type="dxa"/>
            <w:tcBorders>
              <w:top w:val="nil"/>
              <w:left w:val="nil"/>
              <w:bottom w:val="single" w:color="auto" w:sz="12" w:space="0"/>
              <w:right w:val="nil"/>
            </w:tcBorders>
            <w:vAlign w:val="bottom"/>
          </w:tcPr>
          <w:p>
            <w:pPr>
              <w:tabs>
                <w:tab w:val="left" w:pos="8944"/>
              </w:tabs>
              <w:overflowPunct w:val="0"/>
              <w:autoSpaceDE w:val="0"/>
              <w:autoSpaceDN w:val="0"/>
              <w:adjustRightInd w:val="0"/>
              <w:spacing w:afterLines="30"/>
              <w:ind w:left="210" w:leftChars="100" w:right="210" w:rightChars="100"/>
              <w:textAlignment w:val="bottom"/>
              <w:rPr>
                <w:sz w:val="30"/>
                <w:szCs w:val="30"/>
              </w:rPr>
            </w:pPr>
            <w:r>
              <w:rPr>
                <w:rFonts w:hint="eastAsia" w:ascii="仿宋_GB2312" w:hAnsi="宋体" w:eastAsia="仿宋_GB2312"/>
                <w:sz w:val="30"/>
                <w:szCs w:val="30"/>
              </w:rPr>
              <w:t>中国科协办公厅                            2017年3月13日</w:t>
            </w:r>
          </w:p>
        </w:tc>
      </w:tr>
      <w:tr>
        <w:tblPrEx>
          <w:tblLayout w:type="fixed"/>
          <w:tblCellMar>
            <w:top w:w="0" w:type="dxa"/>
            <w:left w:w="28" w:type="dxa"/>
            <w:bottom w:w="0" w:type="dxa"/>
            <w:right w:w="28" w:type="dxa"/>
          </w:tblCellMar>
        </w:tblPrEx>
        <w:trPr>
          <w:trHeight w:val="1180" w:hRule="atLeast"/>
          <w:jc w:val="center"/>
        </w:trPr>
        <w:tc>
          <w:tcPr>
            <w:tcW w:w="8845" w:type="dxa"/>
            <w:tcBorders>
              <w:top w:val="single" w:color="auto" w:sz="12" w:space="0"/>
              <w:bottom w:val="nil"/>
            </w:tcBorders>
          </w:tcPr>
          <w:p>
            <w:pPr>
              <w:snapToGrid w:val="0"/>
              <w:spacing w:beforeLines="200" w:afterLines="100" w:line="700" w:lineRule="exact"/>
              <w:jc w:val="center"/>
              <w:rPr>
                <w:rFonts w:ascii="小标宋" w:eastAsia="小标宋" w:cs="宋体"/>
                <w:kern w:val="0"/>
                <w:sz w:val="40"/>
                <w:szCs w:val="40"/>
                <w:lang w:val="zh-CN"/>
              </w:rPr>
            </w:pPr>
            <w:r>
              <w:rPr>
                <w:rFonts w:hint="eastAsia" w:ascii="小标宋" w:hAnsi="楷体" w:eastAsia="小标宋"/>
                <w:color w:val="000000"/>
                <w:sz w:val="44"/>
                <w:szCs w:val="44"/>
              </w:rPr>
              <w:t>尚勇书记在全国学会学术工作会上的讲话</w:t>
            </w:r>
            <w:r>
              <w:rPr>
                <w:rFonts w:ascii="小标宋" w:hAnsi="楷体" w:eastAsia="小标宋"/>
                <w:color w:val="000000"/>
                <w:sz w:val="44"/>
                <w:szCs w:val="44"/>
              </w:rPr>
              <w:br w:type="textWrapping"/>
            </w:r>
            <w:r>
              <w:rPr>
                <w:rFonts w:hint="eastAsia" w:ascii="楷体_GB2312" w:hAnsi="华文中宋" w:eastAsia="楷体_GB2312" w:cs="华文中宋"/>
                <w:bCs/>
                <w:sz w:val="30"/>
                <w:szCs w:val="30"/>
              </w:rPr>
              <w:t>2017年2月23日</w:t>
            </w:r>
            <w:r>
              <w:rPr>
                <w:rFonts w:hint="eastAsia" w:ascii="楷体_GB2312" w:hAnsi="华文中宋" w:eastAsia="楷体_GB2312" w:cs="华文中宋"/>
                <w:bCs/>
                <w:sz w:val="30"/>
                <w:szCs w:val="30"/>
              </w:rPr>
              <w:br w:type="textWrapping"/>
            </w:r>
            <w:r>
              <w:rPr>
                <w:rFonts w:hint="eastAsia" w:ascii="楷体_GB2312" w:eastAsia="楷体_GB2312"/>
                <w:sz w:val="30"/>
                <w:szCs w:val="30"/>
              </w:rPr>
              <w:t>（根据录音整理）</w:t>
            </w:r>
          </w:p>
        </w:tc>
      </w:tr>
    </w:tbl>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今年学会学术工作的主题是抓“落实”,重点是推动既定改革部署落地生根。刚才，宋军同志代表中国科协作了学会学术工作报告，报告从七个方面总结了2016年工作成绩，从五个方面部署了2017年学会改革发展的21项重点工作，我完全赞成，请大家按照工作部署抓好落实。四个学会和两个地方科协的交流发言，介绍了很多好的经验，讲得也很精彩，希望大家认真借鉴、吸纳。</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在整个学会学术工作中，突出的难点和重点，动力和手段都集中在改革上。所以，今天我以学会改革为题，通过谈心的形式，谈谈怎样深化学会改革、怎样抓好学会改革落实。</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一、把握正确方向，全面贯彻落实习近平总书记和党中央对科协工作的新要求</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党中央、国务院对科协工作的布局已经非常清晰，谋篇布局形成完整体系，成为新时期引领科协事业的战略指南，明确了坚持走中国特色群团发展道路的战略方向。</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rPr>
        <w:t>第一，科协事业进入全面改革发展新阶段</w:t>
      </w:r>
      <w:r>
        <w:rPr>
          <w:rFonts w:hint="eastAsia" w:ascii="仿宋_GB2312" w:eastAsia="仿宋_GB2312"/>
          <w:sz w:val="32"/>
          <w:szCs w:val="32"/>
        </w:rPr>
        <w:t>。2016年是科协事业发展具有里程碑意义的一年，体现在两大标志性事件上。</w:t>
      </w:r>
      <w:r>
        <w:rPr>
          <w:rFonts w:hint="eastAsia" w:ascii="仿宋_GB2312" w:eastAsia="仿宋_GB2312"/>
          <w:b/>
          <w:sz w:val="32"/>
          <w:szCs w:val="32"/>
        </w:rPr>
        <w:t>一是</w:t>
      </w:r>
      <w:r>
        <w:rPr>
          <w:rFonts w:hint="eastAsia" w:ascii="仿宋_GB2312" w:eastAsia="仿宋_GB2312"/>
          <w:sz w:val="32"/>
          <w:szCs w:val="32"/>
        </w:rPr>
        <w:t>2016年3月中央下发的《科协系统深化改革实施方案》，对科协系统深化改革做出全面部署，这是指导科协事业全面改革发展的一个纲领性、指导性文件。我们要把改革作为发展的第一动力，坚持改革和发展相结合，全面提升科协工作。</w:t>
      </w:r>
      <w:r>
        <w:rPr>
          <w:rFonts w:hint="eastAsia" w:ascii="仿宋_GB2312" w:eastAsia="仿宋_GB2312"/>
          <w:b/>
          <w:sz w:val="32"/>
          <w:szCs w:val="32"/>
        </w:rPr>
        <w:t>二是</w:t>
      </w:r>
      <w:r>
        <w:rPr>
          <w:rFonts w:hint="eastAsia" w:ascii="仿宋_GB2312" w:eastAsia="仿宋_GB2312"/>
          <w:sz w:val="32"/>
          <w:szCs w:val="32"/>
        </w:rPr>
        <w:t>2016年5月30日中国科协“九大”与全国科技创新大会、两院院士大会一并召开，习近平总书记发表重要讲话，发出向世界科技强国进军的伟大号召，明确了面向世界科技前沿、面向经济主战场、面向国家重大需求的科技发展方向，对深化科技体制改革、做好科技人才工作、加强科协组织建设等作出重要指示，得到科技界强烈反响和热烈拥护。</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中国科协作为党领导下的人民团体，科技工作者的群众组织，党和政府联系科技工作者的桥梁和纽带，必须率先贯彻好、落实好总书记和党中央的新要求。学会是科协联系服务广大科技工作者的枢纽组织，学会工作是科协的主体工作，学会改革是科协系统改革的“牛鼻子”，因此，学会要在贯彻落实总书记和党中央对科协工作的新要求方面，勇于担当、创新争先。</w:t>
      </w:r>
    </w:p>
    <w:p>
      <w:pPr>
        <w:adjustRightInd w:val="0"/>
        <w:snapToGrid w:val="0"/>
        <w:spacing w:line="58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第二，学会改革要充分释放科技工作者的创新潜力。</w:t>
      </w:r>
      <w:r>
        <w:rPr>
          <w:rFonts w:hint="eastAsia" w:ascii="仿宋_GB2312" w:eastAsia="仿宋_GB2312"/>
          <w:sz w:val="32"/>
          <w:szCs w:val="32"/>
        </w:rPr>
        <w:t>科技体制改革目的就是要解决广大科技工作者期盼已久、反映强烈的问题，要聚焦“松绑、放权、包容、激励”进行改革，让广大科技工作者在改革中有更多的获得感。“松绑”就是去行政化，最大限度减少行政干预对科研工作包括整个科技工作造成的束缚；“放权”，就是把更多的科技研发自主权下放给创新主体，减少政府干预，让创新主体按照科研规律在项目立项、评估、验收，包括经费使用、职称聘用，收入分配等方面享有更多的自主权；“包容”就是要符合科研工作的特点，鼓励探索、宽容失败，要区别对待科技工作者与机关党政干部的工作要求。机关工作是“法无授权不可为”，科技创新工作是“法无禁止即可为”；“激励”，就是把按知识价值分配的政策落实到底，激发科技人才创新创业的积极性。创新和其他工作不一样，需要激情，需要创造，要有活力。</w:t>
      </w:r>
    </w:p>
    <w:p>
      <w:pPr>
        <w:adjustRightInd w:val="0"/>
        <w:snapToGrid w:val="0"/>
        <w:spacing w:line="580" w:lineRule="exact"/>
        <w:ind w:firstLine="640" w:firstLineChars="200"/>
        <w:rPr>
          <w:rFonts w:ascii="仿宋_GB2312" w:eastAsia="仿宋_GB2312"/>
          <w:sz w:val="32"/>
          <w:szCs w:val="32"/>
        </w:rPr>
      </w:pPr>
      <w:bookmarkStart w:id="0" w:name="_GoBack"/>
      <w:r>
        <w:rPr>
          <w:rFonts w:hint="eastAsia" w:ascii="楷体_GB2312" w:hAnsi="楷体_GB2312" w:eastAsia="楷体_GB2312" w:cs="楷体_GB2312"/>
          <w:sz w:val="32"/>
          <w:szCs w:val="32"/>
        </w:rPr>
        <w:t>第三，学会改革要始终坚持正确方向。</w:t>
      </w:r>
      <w:bookmarkEnd w:id="0"/>
      <w:r>
        <w:rPr>
          <w:rFonts w:hint="eastAsia" w:ascii="仿宋_GB2312" w:eastAsia="仿宋_GB2312"/>
          <w:sz w:val="32"/>
          <w:szCs w:val="32"/>
        </w:rPr>
        <w:t>总书记重要讲话对科协组织提出了161个字的重要指示，这是对中国科协各级组织的要求，更是学会改革的题中应有之义。学会改革要把坚持“四个服务”职责定位，着力建设“三型组织”，主动带领科技工作者进军科技创新，组织开展创新争先行动作为战略性任务，按照总书记和党中央为科协事业发展，包括学会的改革发展指明的方向，高质量完成改革任务。完成这些任务就如同军队打仗一样，要赢得胜利，一定要有一支强大战斗力的部队，这个部队就是我们的学会。学会要做好各方面工作，首先要把学会自身建设搞上去。我们的学会，有解放前建立的，有计划经济时代建立的，也有改革开放后建立的，随着我国全面深化改革的推进，特别是社会主义市场经济地位的确立，学会自身的体制和运行机制都不能适应现在改革大形势和科技经济社会发展的需求，必须深化改革。通过改革增动力、添活力、提能力，实现凤凰涅</w:t>
      </w:r>
      <w:r>
        <w:rPr>
          <w:rFonts w:hint="eastAsia" w:asciiTheme="majorEastAsia" w:hAnsiTheme="majorEastAsia" w:eastAsiaTheme="majorEastAsia"/>
          <w:sz w:val="32"/>
          <w:szCs w:val="32"/>
        </w:rPr>
        <w:t>槃</w:t>
      </w:r>
      <w:r>
        <w:rPr>
          <w:rFonts w:hint="eastAsia" w:ascii="仿宋_GB2312" w:eastAsia="仿宋_GB2312"/>
          <w:sz w:val="32"/>
          <w:szCs w:val="32"/>
        </w:rPr>
        <w:t>。</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二、总结改革经验，提升做好学会工作的信心和决心</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近两年的改革试点和改革实践，为学会改革取得突破积累了很多有益经验，也使我们看到了希望。按照中央的要求，很多学会不断推动改革走向纵深，探索形成很多好的工作模式。</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lang w:val="en-US" w:eastAsia="zh-CN"/>
        </w:rPr>
        <w:t>第</w:t>
      </w:r>
      <w:r>
        <w:rPr>
          <w:rFonts w:hint="eastAsia" w:ascii="楷体_GB2312" w:eastAsia="楷体_GB2312"/>
          <w:sz w:val="32"/>
          <w:szCs w:val="32"/>
        </w:rPr>
        <w:t>一</w:t>
      </w:r>
      <w:r>
        <w:rPr>
          <w:rFonts w:hint="eastAsia" w:ascii="楷体_GB2312" w:eastAsia="楷体_GB2312"/>
          <w:sz w:val="32"/>
          <w:szCs w:val="32"/>
          <w:lang w:eastAsia="zh-CN"/>
        </w:rPr>
        <w:t>，</w:t>
      </w:r>
      <w:r>
        <w:rPr>
          <w:rFonts w:hint="eastAsia" w:ascii="楷体_GB2312" w:eastAsia="楷体_GB2312"/>
          <w:sz w:val="32"/>
          <w:szCs w:val="32"/>
        </w:rPr>
        <w:t>坚持以点带面推进改革</w:t>
      </w:r>
      <w:r>
        <w:rPr>
          <w:rFonts w:hint="eastAsia" w:ascii="仿宋_GB2312" w:eastAsia="仿宋_GB2312"/>
          <w:sz w:val="32"/>
          <w:szCs w:val="32"/>
        </w:rPr>
        <w:t>。中国科协选择50多个学会作为改革试点，先行一步，带动全面，创造了很多好的经验和模式。同时，很多没有列为试点的学会，自行改革异军突起，大多数学会都动了起来，一些学会通过改革跟了上来。刚才发言的中国图象图形学学会，原来是被通报的问题学会，去年换届都很难，学会的新老理事长痛定思痛，在学会管理运行体制和人员选择上做了正确改革抉择，学会很快就充满了生机。还有一些大学会，如中华医学会、中国农学会、中国化学会等，在试点中都形成了很多好的经验。</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lang w:val="en-US" w:eastAsia="zh-CN"/>
        </w:rPr>
        <w:t>第</w:t>
      </w:r>
      <w:r>
        <w:rPr>
          <w:rFonts w:hint="eastAsia" w:ascii="楷体_GB2312" w:eastAsia="楷体_GB2312"/>
          <w:sz w:val="32"/>
          <w:szCs w:val="32"/>
        </w:rPr>
        <w:t>二</w:t>
      </w:r>
      <w:r>
        <w:rPr>
          <w:rFonts w:hint="eastAsia" w:ascii="楷体_GB2312" w:eastAsia="楷体_GB2312"/>
          <w:sz w:val="32"/>
          <w:szCs w:val="32"/>
          <w:lang w:eastAsia="zh-CN"/>
        </w:rPr>
        <w:t>，</w:t>
      </w:r>
      <w:r>
        <w:rPr>
          <w:rFonts w:hint="eastAsia" w:ascii="楷体_GB2312" w:eastAsia="楷体_GB2312"/>
          <w:sz w:val="32"/>
          <w:szCs w:val="32"/>
        </w:rPr>
        <w:t>坚持改革与发展相结合</w:t>
      </w:r>
      <w:r>
        <w:rPr>
          <w:rFonts w:hint="eastAsia" w:ascii="仿宋_GB2312" w:eastAsia="仿宋_GB2312"/>
          <w:sz w:val="32"/>
          <w:szCs w:val="32"/>
        </w:rPr>
        <w:t>。改革是动力，是手段，目的是解决问题、促进发展。当前学会的主要问题是散、虚、弱。“散”就是对科技工作者凝聚力不强，会员发展不起来；“虚”就是只挂一个虚名，工作没有影响力；“弱”就是活动搞不起来，没有服务能力。改革的首要目标就是要增强自身活力，增强会员凝聚力，增强社会影响力。以发展服务项目带动学会改革，把承接政府转移职能、学术期刊、人才培养等工作的开展与学会改革紧密结合在一起，这样既明确工作方向，也看得到改革效果。此外，建立起鼓励改革的有效激励机制，改革赋予了学会更多自主权，对好的改革模式优先支持，让改革者得益，通过激励机制发挥对改革的推动作用。</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lang w:val="en-US" w:eastAsia="zh-CN"/>
        </w:rPr>
        <w:t>第</w:t>
      </w:r>
      <w:r>
        <w:rPr>
          <w:rFonts w:hint="eastAsia" w:ascii="楷体_GB2312" w:eastAsia="楷体_GB2312"/>
          <w:sz w:val="32"/>
          <w:szCs w:val="32"/>
        </w:rPr>
        <w:t>三</w:t>
      </w:r>
      <w:r>
        <w:rPr>
          <w:rFonts w:hint="eastAsia" w:ascii="楷体_GB2312" w:eastAsia="楷体_GB2312"/>
          <w:sz w:val="32"/>
          <w:szCs w:val="32"/>
          <w:lang w:eastAsia="zh-CN"/>
        </w:rPr>
        <w:t>，</w:t>
      </w:r>
      <w:r>
        <w:rPr>
          <w:rFonts w:hint="eastAsia" w:ascii="楷体_GB2312" w:eastAsia="楷体_GB2312"/>
          <w:sz w:val="32"/>
          <w:szCs w:val="32"/>
        </w:rPr>
        <w:t>坚持抓住学会领导机构改革这个关键。</w:t>
      </w:r>
      <w:r>
        <w:rPr>
          <w:rFonts w:hint="eastAsia" w:ascii="仿宋_GB2312" w:eastAsia="仿宋_GB2312"/>
          <w:sz w:val="32"/>
          <w:szCs w:val="32"/>
        </w:rPr>
        <w:t>理事长、副理事长、秘书长、副秘书长发挥了很大引领和推动作用。改革搞得好的学会，首先是理事长、秘书长改革意识比较强，有很好的顶层设计，其次是推动举措非常有力。在发挥理事会作用方面，中国岩石力学与工程学会的“理事积分制度”就非常好。在增强秘书处活力方面，中国空气动力学会等完成了秘书长聘任工作。中华中医药学会等20多个学会制定了专兼职人员行为规范，还有分支机构管理规范等等。</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lang w:val="en-US" w:eastAsia="zh-CN"/>
        </w:rPr>
        <w:t>第</w:t>
      </w:r>
      <w:r>
        <w:rPr>
          <w:rFonts w:hint="eastAsia" w:ascii="楷体_GB2312" w:eastAsia="楷体_GB2312"/>
          <w:sz w:val="32"/>
          <w:szCs w:val="32"/>
        </w:rPr>
        <w:t>四</w:t>
      </w:r>
      <w:r>
        <w:rPr>
          <w:rFonts w:hint="eastAsia" w:ascii="楷体_GB2312" w:eastAsia="楷体_GB2312"/>
          <w:sz w:val="32"/>
          <w:szCs w:val="32"/>
          <w:lang w:eastAsia="zh-CN"/>
        </w:rPr>
        <w:t>，</w:t>
      </w:r>
      <w:r>
        <w:rPr>
          <w:rFonts w:hint="eastAsia" w:ascii="楷体_GB2312" w:eastAsia="楷体_GB2312"/>
          <w:sz w:val="32"/>
          <w:szCs w:val="32"/>
        </w:rPr>
        <w:t>坚持搭建工作平台推动学会能力提升</w:t>
      </w:r>
      <w:r>
        <w:rPr>
          <w:rFonts w:hint="eastAsia" w:ascii="仿宋_GB2312" w:eastAsia="仿宋_GB2312"/>
          <w:sz w:val="32"/>
          <w:szCs w:val="32"/>
        </w:rPr>
        <w:t>。学会的学术交流日益活跃，中国化学会连续两年的年会都是上万人的规模。去年生命科学学会联合体举办的世界生命科学大会，15个世界顶级专家参会；世界机器人大会、国际地理大会等规模和影响都很大，今年还要举办世界清洁能源大会、世界交通运输大会等。承接政府转移职能工作圆满完成试点，这是中央深化改革领导小组批准的科协改革任务，已纳入常态化改革工作。学术期刊水平明显提升，创新驱动助力工程、双创服务等为经济主战场服务的工作成效显著，科普工作作为中国科协的看家本领，也得到了加强。智库作用充分发挥，学会参与重大科技评估，让学会在科技主战场上立住脚，成为“裁判”。学科发展建议大都被政府部门吸纳。在人才服务方面，学会开展的人才举荐和人才培养，特别青年人才培养和举荐也很好。这些都是我们改革的成效，改革和发展是紧密结合的，这些好的模式还要在改革中持续巩固。</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三、明确职责定位，充分发挥学会在国家治理体系和创新体系中的重要作用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中国科协是学会的大联合体，是党联系广大科技工作者的人民团体，是提供科技类公共服务产品的社会组织，是国家科技创新体系的重要组成部分。在国家治理体系和治理能力现代化进程中，很多科技类产品、学术类产品，以及社会服务类产品是学会要提供的。在国家创新体系建设中，学会在科技前沿探索、助力创新驱动发展、优化发现举荐优秀科技人才机制方面具有极大潜力。原来是产学研加政府，现在把人民团体加上，这是符合科技发展规律的。</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rPr>
        <w:t>第一，学会承担科技创新职能、参与社会治理是国际惯例</w:t>
      </w:r>
      <w:r>
        <w:rPr>
          <w:rFonts w:hint="eastAsia" w:ascii="仿宋_GB2312" w:eastAsia="仿宋_GB2312"/>
          <w:sz w:val="32"/>
          <w:szCs w:val="32"/>
        </w:rPr>
        <w:t>。在世界发达国家，包括市场经济发达国家和科技发达国家，往往没有专门的科技行政管理机构，科技创新职能是学会承担的，包括学术活动、协同创新、科技服务等。比如很有名的英国皇家学会、德国马普学会、德国弗劳恩霍夫协会等。在产业界，美国电气和电子工程师协会，已经成为国际性协会，信息产业包括能源、电力产业的标准都被协会包揽。刚才中国汽车工程学会付于武理事长讲到，主管政府部门都转制为行业协会，与学会形成竞争，很多工科学会都面临这样的挑战。政府职能在转变，学会必须发挥应有作用。学会要抓住机遇，找到工作增长点，不断创新服务平台，抓住机遇，不断进取，发挥重要作用。</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rPr>
        <w:t>第二，学会推动融合创新有很大的发展空间</w:t>
      </w:r>
      <w:r>
        <w:rPr>
          <w:rFonts w:hint="eastAsia" w:ascii="仿宋_GB2312" w:eastAsia="仿宋_GB2312"/>
          <w:sz w:val="32"/>
          <w:szCs w:val="32"/>
        </w:rPr>
        <w:t>。现在学科发展特点是跨界融合，仅仅从互联网上得到信息是不够的，需要面对面“头脑风暴”，需要相互交流。由学会来组织跨单位、跨地区、跨行业、跨领域的学术交流越来越重要，目的是为了推动科研合作、协同创新。这方面，政府部门往往只能组织个别典型项目，从整个面上还要依靠学会。现在改革设计很好，但在很多领域落不了地，科技人员的意见很大，要靠学会替他们说话。学会没有官本位，我们是科技工作者之家，要给广大科技工作者搭好桥梁纽带，发挥出他们的聪明才智。</w:t>
      </w:r>
    </w:p>
    <w:p>
      <w:pPr>
        <w:adjustRightInd w:val="0"/>
        <w:snapToGrid w:val="0"/>
        <w:spacing w:line="580" w:lineRule="exact"/>
        <w:ind w:firstLine="640" w:firstLineChars="200"/>
        <w:rPr>
          <w:rFonts w:ascii="仿宋_GB2312" w:eastAsia="仿宋_GB2312"/>
          <w:sz w:val="32"/>
          <w:szCs w:val="32"/>
        </w:rPr>
      </w:pPr>
      <w:r>
        <w:rPr>
          <w:rFonts w:hint="eastAsia" w:ascii="楷体_GB2312" w:hAnsi="楷体" w:eastAsia="楷体_GB2312"/>
          <w:sz w:val="32"/>
          <w:szCs w:val="32"/>
        </w:rPr>
        <w:t>第三，学会可以更好地促进科技工作者的相互交流</w:t>
      </w:r>
      <w:r>
        <w:rPr>
          <w:rFonts w:hint="eastAsia" w:ascii="仿宋_GB2312" w:eastAsia="仿宋_GB2312"/>
          <w:sz w:val="32"/>
          <w:szCs w:val="32"/>
        </w:rPr>
        <w:t>。学术交流是学会的立会之本。学会组织各种交流，就是让科技工作者聚在一起，包括老年人、中年人，特别是青年人，大批青年人需要我们举荐培养。有些学会建立了研究生分会、联谊会等，从服务青年抓起，让青年科技工作者喜欢这个平台，成为他们成长的捷径。包括很多协同创新，更多是通过学会搭建平台来实现学术交流。</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目前还有很多工作我们学会无法承担，主要问题是我们学会的能力有缺陷，根子在于我们学会运行的体制机制，特别是学会的治理体系和治理方式落后。所以必须要改革。</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四、坚持改革攻坚，以啃硬骨头精神真正取得学会治理改革成效</w:t>
      </w:r>
    </w:p>
    <w:p>
      <w:pPr>
        <w:adjustRightInd w:val="0"/>
        <w:snapToGrid w:val="0"/>
        <w:spacing w:line="580" w:lineRule="exact"/>
        <w:ind w:firstLine="640" w:firstLineChars="200"/>
        <w:rPr>
          <w:rFonts w:ascii="楷体_GB2312" w:eastAsia="楷体_GB2312"/>
          <w:sz w:val="32"/>
          <w:szCs w:val="32"/>
        </w:rPr>
      </w:pPr>
      <w:r>
        <w:rPr>
          <w:rFonts w:hint="eastAsia" w:ascii="仿宋_GB2312" w:eastAsia="仿宋_GB2312"/>
          <w:sz w:val="32"/>
          <w:szCs w:val="32"/>
        </w:rPr>
        <w:t>学会治理改革是整个科协改革工作的重中之重，也是难点。要坚持啃硬骨头和钉钉子精神，增强忧患意识和担当精神，以巨大的决心和勇气坚决推进改革纵深发展，打好改革攻坚战。学会改革看起来难，其实只要重视就不难。通过机制建设，真正实现既有整体规划，又有督促考核。工作上就会有成效、有显示度、有抓手。</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rPr>
        <w:t>第一，以责任心和使命感驱动学会改革</w:t>
      </w:r>
      <w:r>
        <w:rPr>
          <w:rFonts w:hint="eastAsia" w:ascii="仿宋_GB2312" w:eastAsia="仿宋_GB2312"/>
          <w:sz w:val="32"/>
          <w:szCs w:val="32"/>
        </w:rPr>
        <w:t>。学会领导机构要有改革意识和责任心，一定要想改革敢改革。办法是靠责任心驱使出来的，没有责任心驱使，可能就会出现“不想干、不会干、不敢干”的情况。中国科协全委会委员中一些知名院士专家，专门请假千里迢迢赶来参加科协会议，这就是责任心。做学会工作是一种奉献，以干事业为导向，干成事业比得到名利对个人更有成就感。干事业就是做服务，学会要靠服务提升凝聚力，有了凝聚力才有社会影响力。</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rPr>
        <w:t>第二，建立多层次的学会管理体制和运行机制</w:t>
      </w:r>
      <w:r>
        <w:rPr>
          <w:rFonts w:hint="eastAsia" w:ascii="仿宋_GB2312" w:eastAsia="仿宋_GB2312"/>
          <w:sz w:val="32"/>
          <w:szCs w:val="32"/>
        </w:rPr>
        <w:t>。首先是理事会层面，理事长要当好改革的第一责任人，要给副理事长、常务理事分配任务，建立责任心。其次，工作委员会和专业委员会层面，体现纵横结合，专门委员会是纵向的，根据不同的分学科设立，工作委员会是根据理事会下的工作分开的，纵横交叉形成矩阵。现在学会有很多新的专业委员会发展起来，这就是科技发展不断出现新突破的特点，而且取得突破的大都是年轻人，越来越多的年轻人参加学会，学会的实力也就有了。最后是秘书长层面要抓好执行，将秘书处的各个部门分布到工作委员会。如果把这个设计好，就会更好地破解难题。比如中国图象图形学学会，之所以取得这么大转变，一是理事会层面设计好，155名理事基本都发挥了作用；二是理事找得好，三分之一以上都是学科带头人。理事会领导和秘书长指导督促，各工作委员会和专业委员会具体实施，这个机制和治理体系，是很清晰的基层经验。</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rPr>
        <w:t>第三，要有一套行之有效的改革推进手段。</w:t>
      </w:r>
      <w:r>
        <w:rPr>
          <w:rFonts w:hint="eastAsia" w:ascii="仿宋_GB2312" w:eastAsia="仿宋_GB2312"/>
          <w:sz w:val="32"/>
          <w:szCs w:val="32"/>
        </w:rPr>
        <w:t>责任分工明确之后，还要有工作手段。手段不仅是资金，政策、考核、激励，包括奖惩这些机制都要有，要善于管理，敢于管理。科技工作者如果发挥了自己的作用，大家都很拥护，会很高兴；如果干得不好被除名了，会感觉非常丢面子，这个机制很有效。</w:t>
      </w:r>
    </w:p>
    <w:p>
      <w:pPr>
        <w:adjustRightInd w:val="0"/>
        <w:snapToGrid w:val="0"/>
        <w:spacing w:line="580" w:lineRule="exact"/>
        <w:ind w:firstLine="640" w:firstLineChars="200"/>
        <w:rPr>
          <w:rFonts w:ascii="仿宋_GB2312" w:eastAsia="仿宋_GB2312"/>
          <w:color w:val="BEBEBE" w:themeColor="background1" w:themeShade="BF"/>
          <w:sz w:val="32"/>
          <w:szCs w:val="32"/>
        </w:rPr>
      </w:pPr>
      <w:r>
        <w:rPr>
          <w:rFonts w:hint="eastAsia" w:ascii="楷体_GB2312" w:eastAsia="楷体_GB2312"/>
          <w:sz w:val="32"/>
          <w:szCs w:val="32"/>
        </w:rPr>
        <w:t>第四，抓好会员发展和服务</w:t>
      </w:r>
      <w:r>
        <w:rPr>
          <w:rFonts w:hint="eastAsia" w:ascii="仿宋_GB2312" w:eastAsia="仿宋_GB2312"/>
          <w:sz w:val="32"/>
          <w:szCs w:val="32"/>
        </w:rPr>
        <w:t>。一个自发的群众性学术组织要活起来，必须突出会员特别是个人会员发展。中国计算机学会，一年就新增会员1万多人。中国汽车工程学会去年底个人会员注册1.6万人，今年计划注册4.5万人，通过创新性地设立各个层次会员，调动会员积极性，特别是个人会员缴纳会费以后，就要为学会发展尽义务，尽义务就意味着要尽责任。我们学会治理体系改革的一个很好的经验，就是首先从会员抓起，从发展个人会员抓起。</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学会只要有责任心，有很好的任务分解和管理办法，有很好的评价奖惩手段，有很好的服务质量和服务机制，完全可以把改革这块硬骨头啃下来。当然，理科学会在创新社会服务和推动改革方面可能难一些。中国科协的态度是，谁改革就支持谁。下一步，理科学会要一个一个推动改革。不能光靠科协驻会帮扶，那都是外因，要靠内生动力。只要大家有这种责任心，有敢于改革的精神，无论是大学会小学会，在我们国家这么宽广的发展空间中都可以找到自己的定位。</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五、坚持目标导向，在改革中不断提升学会综合能力</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深化改革是手段，是动力，提升能力才是目标。要把改革与发展结合，把提升学会创新服务能力与深化改革结合起来。</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rPr>
        <w:t>第一，要提升学会的政治思想引领能力</w:t>
      </w:r>
      <w:r>
        <w:rPr>
          <w:rFonts w:hint="eastAsia" w:ascii="仿宋_GB2312" w:eastAsia="仿宋_GB2312"/>
          <w:sz w:val="32"/>
          <w:szCs w:val="32"/>
        </w:rPr>
        <w:t>。中国特色的社会管理体制有一个鲜明的特色，就是坚持党的领导。刚才发言的中国仪器仪表学会，党建工作就很有特色。2014年统计数据，我国有8100万科技工作者，其中党员比例占47%，我们服务的党员群体占全国党员的三分之一左右。如果学会能凝聚科技工作者，听党话跟党走，与党同心同德，维护中央权威，党的凝聚力就会大幅度增强。目前，科协所属全国学会党组织覆盖率已达97%，但是学会的党建很多是功能性的，党组织关系不在学会，下一步重点是要强调如何提升效果和质量，要在充分发挥党组织作用上下功夫，大家任务很重，要通过政治引领、思想凝聚、学术凝聚、服务凝聚、维权凝聚，把科技工作者凝聚起来，为他们排忧解难，提供各种便利服务。作为具有中国特色的学会，必须把讲政治放在很重要的位置，要旗帜鲜明地讲政治，要强化党的领导，这一点丝毫不能含糊。</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rPr>
        <w:t>第二，要提升学会的创新能力</w:t>
      </w:r>
      <w:r>
        <w:rPr>
          <w:rFonts w:hint="eastAsia" w:ascii="仿宋_GB2312" w:eastAsia="仿宋_GB2312"/>
          <w:sz w:val="32"/>
          <w:szCs w:val="32"/>
        </w:rPr>
        <w:t>。学会要坚持服务大局，紧跟变革和时代潮流，梳理优势和资源，找准创新发力点，有效集成创新资源，前瞻性地谋划学会工作。在这方面，我们有很多工作抓手和项目，这些抓手要进一步改进。比如在提升学会学术交流能力方面，打造出一批好的学术期刊，一批好的学术会议平台，通过这样的平台促进科研合作和协同创新，在科技服务、科技智库、人才举荐等方面发挥作用。</w:t>
      </w:r>
    </w:p>
    <w:p>
      <w:pPr>
        <w:adjustRightInd w:val="0"/>
        <w:snapToGrid w:val="0"/>
        <w:spacing w:line="580" w:lineRule="exact"/>
        <w:ind w:firstLine="640" w:firstLineChars="200"/>
        <w:rPr>
          <w:rFonts w:ascii="仿宋_GB2312" w:eastAsia="仿宋_GB2312"/>
          <w:sz w:val="32"/>
          <w:szCs w:val="32"/>
        </w:rPr>
      </w:pPr>
      <w:r>
        <w:rPr>
          <w:rFonts w:hint="eastAsia" w:ascii="楷体_GB2312" w:eastAsia="楷体_GB2312"/>
          <w:sz w:val="32"/>
          <w:szCs w:val="32"/>
        </w:rPr>
        <w:t>第三，要提升学会的服务能力</w:t>
      </w:r>
      <w:r>
        <w:rPr>
          <w:rFonts w:hint="eastAsia" w:ascii="仿宋_GB2312" w:eastAsia="仿宋_GB2312"/>
          <w:sz w:val="32"/>
          <w:szCs w:val="32"/>
        </w:rPr>
        <w:t>。学会要坚持以会员为本。科技工作者在成果转化、创业方面还存在瓶颈，包括科技工作者权益，知识价值的分配，权益维护等，需要学会支持。更重要的是人才服务平台，青年人才托举工程主要为“小人物”服务，很多好苗子，一开始很难获得成长所需要的科研资源，通过同行举荐，由学会搭建支撑平台并给予经费支持，让青年人才自由选题，助力他们成长成才，这个机制得到了中组部、自然科学基金会的赞成，科技界的很多院士专家也给予了充分肯定。包括对老科技工作者服务，陈至立同志、齐让同志到老科技工作者协会后抓得有声有色，给我们树立了榜样。在国际交流方面，学会要增加国际话语权，要向更多国际组织推荐领导人，争取重要的国际组织全覆盖。要支持学会在中国建立国际组织或亚太组织总部，到2020年争取建立80到100个。总之，一些主体服务平台要通过中国科协建立起来，办公场所、经费都可以支持。</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中国科协党组已经将学会治理改革作为2017年科协系统深化改革中的难点进行重点攻坚，强化分类指导，坚持奖优罚劣，做到考核跟着改革走，经费跟着改革走，持续推进学会治理改革出实效。</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同志们，中央改革的方向、目标都已经明确，我们整个科协、整个学会改革发展规划也已经出台，现在关键是落实。只要大家高度重视，有责任心，有使命感，有敢于担当的精神，我相信学会改革一定会取得新突破。希望大家更加紧密团结在以习近平总书记为核心的党中央周围，进一步增强改革的信心和决心，扑下身子抓改革，撸起袖子加油干，狠抓落实，多出经验，以更加优异的改革发展成绩迎接党的十九大胜利召开！谢谢大家。</w:t>
      </w:r>
    </w:p>
    <w:p>
      <w:pPr>
        <w:widowControl/>
        <w:jc w:val="left"/>
        <w:rPr>
          <w:rFonts w:ascii="仿宋_GB2312" w:eastAsia="仿宋_GB2312"/>
          <w:sz w:val="32"/>
          <w:szCs w:val="32"/>
        </w:rPr>
      </w:pPr>
      <w:r>
        <w:rPr>
          <w:rFonts w:ascii="仿宋_GB2312" w:eastAsia="仿宋_GB2312"/>
          <w:sz w:val="32"/>
          <w:szCs w:val="32"/>
        </w:rPr>
        <w:br w:type="page"/>
      </w:r>
    </w:p>
    <w:p>
      <w:pPr>
        <w:rPr>
          <w:rFonts w:hint="eastAsia" w:ascii="黑体" w:hAnsi="黑体" w:eastAsia="黑体"/>
          <w:sz w:val="32"/>
          <w:szCs w:val="32"/>
        </w:rPr>
      </w:pPr>
      <w:r>
        <w:rPr>
          <w:rFonts w:hint="eastAsia" w:ascii="黑体" w:hAnsi="黑体" w:eastAsia="黑体"/>
          <w:sz w:val="32"/>
          <w:szCs w:val="32"/>
        </w:rPr>
        <w:t>附</w:t>
      </w:r>
    </w:p>
    <w:p>
      <w:pPr>
        <w:spacing w:beforeLines="50" w:afterLines="150" w:line="700" w:lineRule="exact"/>
        <w:jc w:val="center"/>
        <w:rPr>
          <w:rFonts w:hint="eastAsia" w:ascii="小标宋" w:hAnsi="黑体" w:eastAsia="小标宋"/>
          <w:sz w:val="44"/>
          <w:szCs w:val="44"/>
        </w:rPr>
      </w:pPr>
      <w:r>
        <w:rPr>
          <w:rFonts w:hint="eastAsia" w:ascii="小标宋" w:hAnsi="黑体" w:eastAsia="小标宋"/>
          <w:sz w:val="44"/>
          <w:szCs w:val="44"/>
        </w:rPr>
        <w:t>讲话中提到的相关学会简介</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1. 中国图象图形学学会治理改革</w:t>
      </w:r>
      <w:r>
        <w:rPr>
          <w:rFonts w:hint="eastAsia" w:ascii="仿宋_GB2312" w:eastAsia="仿宋_GB2312"/>
          <w:sz w:val="32"/>
          <w:szCs w:val="32"/>
        </w:rPr>
        <w:t>：学会2016年7月换届，新理事会155人，规模适中；其中</w:t>
      </w:r>
      <w:r>
        <w:rPr>
          <w:rFonts w:hint="eastAsia" w:ascii="仿宋_GB2312" w:hAnsi="宋体" w:eastAsia="仿宋_GB2312"/>
          <w:sz w:val="32"/>
          <w:szCs w:val="32"/>
        </w:rPr>
        <w:t>院士、首席科学家、千人及长江学者、杰青及优青等超过理事人数的1/3；明确</w:t>
      </w:r>
      <w:r>
        <w:rPr>
          <w:rFonts w:hint="eastAsia" w:ascii="仿宋_GB2312" w:hAnsi="宋体" w:eastAsia="仿宋_GB2312" w:cs="宋体"/>
          <w:kern w:val="0"/>
          <w:sz w:val="32"/>
          <w:szCs w:val="32"/>
        </w:rPr>
        <w:t>副理事长分别负责指导1-2个工作委员会；</w:t>
      </w:r>
      <w:r>
        <w:rPr>
          <w:rFonts w:hint="eastAsia" w:ascii="仿宋_GB2312" w:hAnsi="宋体" w:eastAsia="仿宋_GB2312"/>
          <w:sz w:val="32"/>
          <w:szCs w:val="32"/>
        </w:rPr>
        <w:t>所有理事纳入学会各工作委员会和专业委员会，</w:t>
      </w:r>
      <w:r>
        <w:rPr>
          <w:rFonts w:hint="eastAsia" w:ascii="仿宋_GB2312" w:hAnsi="宋体" w:eastAsia="仿宋_GB2312" w:cs="宋体"/>
          <w:kern w:val="0"/>
          <w:sz w:val="32"/>
          <w:szCs w:val="32"/>
        </w:rPr>
        <w:t>建立工作委员会和专业委员会纵横结合的管理结构；</w:t>
      </w:r>
      <w:r>
        <w:rPr>
          <w:rFonts w:hint="eastAsia" w:ascii="仿宋_GB2312" w:hAnsi="宋体" w:eastAsia="仿宋_GB2312" w:cs="宋体"/>
          <w:color w:val="000000"/>
          <w:kern w:val="0"/>
          <w:sz w:val="32"/>
          <w:szCs w:val="32"/>
        </w:rPr>
        <w:t>鼓励学科前沿新方向的学者们申办新的专业委员会</w:t>
      </w:r>
      <w:r>
        <w:rPr>
          <w:rFonts w:hint="eastAsia" w:ascii="仿宋_GB2312" w:hAnsi="宋体" w:eastAsia="仿宋_GB2312" w:cs="宋体"/>
          <w:kern w:val="0"/>
          <w:sz w:val="32"/>
          <w:szCs w:val="32"/>
        </w:rPr>
        <w:t>。</w:t>
      </w:r>
    </w:p>
    <w:p>
      <w:pPr>
        <w:spacing w:line="580" w:lineRule="exact"/>
        <w:ind w:firstLine="640" w:firstLineChars="200"/>
        <w:rPr>
          <w:rFonts w:ascii="仿宋_GB2312" w:hAnsi="宋体" w:eastAsia="仿宋_GB2312"/>
          <w:sz w:val="32"/>
          <w:szCs w:val="32"/>
        </w:rPr>
      </w:pPr>
      <w:r>
        <w:rPr>
          <w:rFonts w:hint="eastAsia" w:ascii="楷体_GB2312" w:eastAsia="楷体_GB2312"/>
          <w:sz w:val="32"/>
          <w:szCs w:val="32"/>
        </w:rPr>
        <w:t>2. 中华医学会改革重点举措</w:t>
      </w:r>
      <w:r>
        <w:rPr>
          <w:rFonts w:hint="eastAsia" w:ascii="仿宋_GB2312" w:hAnsi="宋体" w:eastAsia="仿宋_GB2312"/>
          <w:sz w:val="32"/>
          <w:szCs w:val="32"/>
        </w:rPr>
        <w:t>：贯彻“民主办会”原则，制定或修订19项规章制度；绝大多数分会的主任委员等采取民主推荐、个人自荐、差额选举方式；专科分会已达88个，举行新任专科分会主任委员就职仪式；实现会员信息与学会各业务系统、地方医学会会员数据同步整合、集中管理和定期维护，收集约70万人的会员基础数据。</w:t>
      </w:r>
    </w:p>
    <w:p>
      <w:pPr>
        <w:spacing w:line="580" w:lineRule="exact"/>
        <w:ind w:firstLine="640" w:firstLineChars="200"/>
        <w:rPr>
          <w:rFonts w:ascii="仿宋_GB2312" w:hAnsi="仿宋_GB2312" w:eastAsia="仿宋_GB2312" w:cs="仿宋_GB2312"/>
          <w:sz w:val="32"/>
          <w:szCs w:val="32"/>
        </w:rPr>
      </w:pPr>
      <w:r>
        <w:rPr>
          <w:rFonts w:hint="eastAsia" w:ascii="楷体_GB2312" w:eastAsia="楷体_GB2312"/>
          <w:sz w:val="32"/>
          <w:szCs w:val="32"/>
        </w:rPr>
        <w:t>3. 中国农学会改革重点举</w:t>
      </w:r>
      <w:r>
        <w:rPr>
          <w:rFonts w:hint="eastAsia" w:ascii="仿宋_GB2312" w:hAnsi="仿宋_GB2312" w:eastAsia="仿宋_GB2312" w:cs="仿宋_GB2312"/>
          <w:sz w:val="32"/>
          <w:szCs w:val="32"/>
        </w:rPr>
        <w:t>措：</w:t>
      </w:r>
      <w:r>
        <w:rPr>
          <w:rFonts w:eastAsia="仿宋_GB2312"/>
          <w:sz w:val="32"/>
          <w:szCs w:val="32"/>
        </w:rPr>
        <w:t>修订分支机构管理办法，制定分支机构发文流程</w:t>
      </w:r>
      <w:r>
        <w:rPr>
          <w:rFonts w:hint="eastAsia" w:eastAsia="仿宋_GB2312"/>
          <w:sz w:val="32"/>
          <w:szCs w:val="32"/>
        </w:rPr>
        <w:t>、</w:t>
      </w:r>
      <w:r>
        <w:rPr>
          <w:rFonts w:eastAsia="仿宋_GB2312"/>
          <w:sz w:val="32"/>
          <w:szCs w:val="32"/>
        </w:rPr>
        <w:t>收入和支出报销流程</w:t>
      </w:r>
      <w:r>
        <w:rPr>
          <w:rFonts w:hint="eastAsia" w:eastAsia="仿宋_GB2312"/>
          <w:sz w:val="32"/>
          <w:szCs w:val="32"/>
        </w:rPr>
        <w:t>等；</w:t>
      </w:r>
      <w:r>
        <w:rPr>
          <w:rFonts w:eastAsia="仿宋_GB2312"/>
          <w:sz w:val="32"/>
          <w:szCs w:val="32"/>
        </w:rPr>
        <w:t>专职工作人员全部实行聘任制</w:t>
      </w:r>
      <w:r>
        <w:rPr>
          <w:rFonts w:hint="eastAsia" w:eastAsia="仿宋_GB2312"/>
          <w:sz w:val="32"/>
          <w:szCs w:val="32"/>
        </w:rPr>
        <w:t>；探索与分支机构、地方农学会共同发展和服务会员的联动机制；在会员集中的科研院所、企事业单位建设“中国农学会会员之家”。</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4</w:t>
      </w:r>
      <w:r>
        <w:rPr>
          <w:rFonts w:hint="eastAsia" w:ascii="楷体_GB2312" w:eastAsia="楷体_GB2312"/>
          <w:sz w:val="32"/>
          <w:szCs w:val="32"/>
        </w:rPr>
        <w:t>. 中国化学会年会</w:t>
      </w:r>
      <w:r>
        <w:rPr>
          <w:rFonts w:hint="eastAsia" w:eastAsia="仿宋_GB2312"/>
          <w:sz w:val="32"/>
          <w:szCs w:val="32"/>
        </w:rPr>
        <w:t>：学会年会规模</w:t>
      </w:r>
      <w:r>
        <w:rPr>
          <w:rFonts w:hint="eastAsia" w:ascii="仿宋_GB2312" w:eastAsia="仿宋_GB2312"/>
          <w:sz w:val="32"/>
          <w:szCs w:val="32"/>
        </w:rPr>
        <w:t>近年来迅速扩大，近两年均超过1万人</w:t>
      </w:r>
      <w:r>
        <w:rPr>
          <w:rFonts w:hint="eastAsia" w:ascii="仿宋_GB2312" w:hAnsi="仿宋_GB2312" w:eastAsia="仿宋_GB2312" w:cs="仿宋_GB2312"/>
          <w:sz w:val="32"/>
          <w:szCs w:val="32"/>
        </w:rPr>
        <w:t>。</w:t>
      </w:r>
      <w:r>
        <w:rPr>
          <w:rFonts w:hint="eastAsia" w:ascii="仿宋_GB2312" w:hAnsi="仿宋_GB2312" w:eastAsia="仿宋_GB2312" w:cs="仿宋_GB2312"/>
          <w:bCs/>
          <w:snapToGrid w:val="0"/>
          <w:sz w:val="32"/>
          <w:szCs w:val="32"/>
        </w:rPr>
        <w:t>2016年7月，</w:t>
      </w:r>
      <w:r>
        <w:rPr>
          <w:rFonts w:eastAsia="仿宋"/>
          <w:bCs/>
          <w:snapToGrid w:val="0"/>
          <w:sz w:val="32"/>
          <w:szCs w:val="32"/>
        </w:rPr>
        <w:t>学会举办主题为“转型中的中</w:t>
      </w:r>
      <w:r>
        <w:rPr>
          <w:rFonts w:hint="eastAsia" w:ascii="仿宋_GB2312" w:hAnsi="仿宋_GB2312" w:eastAsia="仿宋_GB2312" w:cs="仿宋_GB2312"/>
          <w:bCs/>
          <w:snapToGrid w:val="0"/>
          <w:sz w:val="32"/>
          <w:szCs w:val="32"/>
        </w:rPr>
        <w:t>国化学”第30届学术年会，参会代表1.1万余人，两院院士近60人，交流论文7500余篇，设置46个分会场及12个专题论坛，为化学科技工作者呈现一场学术水平高、内容丰富的学术盛会。</w:t>
      </w:r>
    </w:p>
    <w:p>
      <w:pPr>
        <w:spacing w:line="580" w:lineRule="exact"/>
        <w:ind w:firstLine="640" w:firstLineChars="200"/>
        <w:rPr>
          <w:rFonts w:ascii="仿宋_GB2312" w:hAnsi="仿宋_GB2312" w:eastAsia="仿宋_GB2312" w:cs="仿宋_GB2312"/>
          <w:color w:val="FF0000"/>
          <w:sz w:val="32"/>
          <w:szCs w:val="32"/>
        </w:rPr>
      </w:pPr>
      <w:r>
        <w:rPr>
          <w:rFonts w:hint="eastAsia" w:ascii="仿宋_GB2312" w:eastAsia="仿宋_GB2312"/>
          <w:sz w:val="32"/>
          <w:szCs w:val="32"/>
        </w:rPr>
        <w:t>5</w:t>
      </w:r>
      <w:r>
        <w:rPr>
          <w:rFonts w:hint="eastAsia" w:ascii="楷体_GB2312" w:eastAsia="楷体_GB2312"/>
          <w:sz w:val="32"/>
          <w:szCs w:val="32"/>
        </w:rPr>
        <w:t>. 中国岩石力学与工程学会的“理事积分制度”：</w:t>
      </w:r>
      <w:r>
        <w:rPr>
          <w:rFonts w:hint="eastAsia" w:ascii="仿宋_GB2312" w:hAnsi="仿宋_GB2312" w:eastAsia="仿宋_GB2312" w:cs="仿宋_GB2312"/>
          <w:bCs/>
          <w:snapToGrid w:val="0"/>
          <w:sz w:val="32"/>
          <w:szCs w:val="32"/>
        </w:rPr>
        <w:t>学会根据理事参与学会工作和活动的频次与贡献，实施理事积分制度，以积分体现理事真“理事”。</w:t>
      </w:r>
    </w:p>
    <w:p>
      <w:pPr>
        <w:spacing w:line="580" w:lineRule="exact"/>
        <w:ind w:firstLine="640" w:firstLineChars="200"/>
        <w:rPr>
          <w:rFonts w:ascii="仿宋_GB2312" w:hAnsi="仿宋_GB2312" w:eastAsia="仿宋_GB2312" w:cs="仿宋_GB2312"/>
          <w:color w:val="FF0000"/>
          <w:sz w:val="32"/>
          <w:szCs w:val="32"/>
        </w:rPr>
      </w:pPr>
      <w:r>
        <w:rPr>
          <w:rFonts w:hint="eastAsia" w:ascii="楷体_GB2312" w:eastAsia="楷体_GB2312"/>
          <w:sz w:val="32"/>
          <w:szCs w:val="32"/>
        </w:rPr>
        <w:t>6. 中国空气动力学会等完成秘书长聘任工作</w:t>
      </w:r>
      <w:r>
        <w:rPr>
          <w:rFonts w:hint="eastAsia" w:eastAsia="仿宋"/>
          <w:bCs/>
          <w:snapToGrid w:val="0"/>
          <w:sz w:val="32"/>
          <w:szCs w:val="32"/>
        </w:rPr>
        <w:t>：</w:t>
      </w:r>
      <w:r>
        <w:rPr>
          <w:rFonts w:hint="eastAsia" w:ascii="仿宋_GB2312" w:hAnsi="仿宋_GB2312" w:eastAsia="仿宋_GB2312" w:cs="仿宋_GB2312"/>
          <w:bCs/>
          <w:snapToGrid w:val="0"/>
          <w:sz w:val="32"/>
          <w:szCs w:val="32"/>
        </w:rPr>
        <w:t>实施理事会聘任秘书长制度，对坚持理事会领导，实现学会秘书长以及整个秘书处职业化、专业化具有重要意义。目前，中国科协所属学会中，有近50个学会实行理事会聘任秘书长制。</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7</w:t>
      </w:r>
      <w:r>
        <w:rPr>
          <w:rFonts w:hint="eastAsia" w:ascii="楷体_GB2312" w:eastAsia="楷体_GB2312"/>
          <w:sz w:val="32"/>
          <w:szCs w:val="32"/>
        </w:rPr>
        <w:t>. 中华中医药学会改革重点举措</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加强规范化建设，制修订学会党建工作责任制度、秘书处工作规则等79项规章制度；加强学术管理规范建设，发布《中华中医药学会学术行为规范》，确定实施对象和实施流程，积极筹建学风道德建设委员会。</w:t>
      </w:r>
    </w:p>
    <w:p>
      <w:pPr>
        <w:spacing w:line="580" w:lineRule="exact"/>
        <w:ind w:firstLine="640" w:firstLineChars="200"/>
        <w:rPr>
          <w:rFonts w:ascii="仿宋_GB2312" w:eastAsia="仿宋_GB2312"/>
          <w:sz w:val="32"/>
          <w:szCs w:val="32"/>
        </w:rPr>
      </w:pPr>
      <w:r>
        <w:rPr>
          <w:rFonts w:hint="eastAsia" w:ascii="楷体_GB2312" w:hAnsi="仿宋" w:eastAsia="楷体_GB2312" w:cs="仿宋"/>
          <w:sz w:val="32"/>
          <w:szCs w:val="32"/>
        </w:rPr>
        <w:t>8. 生命科学学会联合体举办世界生命科学大会</w:t>
      </w:r>
      <w:r>
        <w:rPr>
          <w:rFonts w:hint="eastAsia" w:ascii="仿宋_GB2312" w:eastAsia="仿宋_GB2312"/>
          <w:sz w:val="32"/>
          <w:szCs w:val="32"/>
        </w:rPr>
        <w:t>：2016世界生命科学大会由生命科学学会联合体承办，李克强总理作重要批示，10位诺贝尔奖获得者、4位世界粮食奖和沃尔夫农业奖获得者、英国皇家学会会长等众多生命科学领域国际大师出席，大会设66个分会主题，400余名国际著名学者作报告，吸引5000余名生命科学领域的科技工作者参会。</w:t>
      </w:r>
    </w:p>
    <w:p>
      <w:pPr>
        <w:spacing w:line="580" w:lineRule="exact"/>
        <w:ind w:firstLine="640" w:firstLineChars="200"/>
        <w:rPr>
          <w:rFonts w:ascii="仿宋" w:hAnsi="仿宋" w:eastAsia="仿宋" w:cs="仿宋"/>
          <w:color w:val="000000"/>
          <w:sz w:val="32"/>
          <w:szCs w:val="32"/>
        </w:rPr>
      </w:pPr>
      <w:r>
        <w:rPr>
          <w:rFonts w:hint="eastAsia" w:ascii="仿宋_GB2312" w:eastAsia="仿宋_GB2312"/>
          <w:sz w:val="32"/>
          <w:szCs w:val="32"/>
        </w:rPr>
        <w:t>中国科协生命科学学会由我国生命科学领域18家全国性专业学会组成，通过开展大学科交流，促进学科间融合合作，引导和促进协同创新，在重大评估、设立重大奖项、提出重大计划、承担重要职能、提升国际话语权方面发挥重要作用。目前，已累计成立生命科学、军民融合、清洁能源、信息科技、智能制造等5个学会联合体，围绕国家重点领域和重大需求已形成一系列标志性品牌活动。</w:t>
      </w:r>
    </w:p>
    <w:p>
      <w:pPr>
        <w:spacing w:line="580" w:lineRule="exact"/>
        <w:ind w:firstLine="640" w:firstLineChars="200"/>
        <w:rPr>
          <w:rFonts w:ascii="仿宋_GB2312" w:eastAsia="仿宋_GB2312"/>
          <w:sz w:val="32"/>
          <w:szCs w:val="32"/>
        </w:rPr>
      </w:pPr>
      <w:r>
        <w:rPr>
          <w:rFonts w:hint="eastAsia" w:ascii="楷体_GB2312" w:hAnsi="仿宋" w:eastAsia="楷体_GB2312" w:cs="仿宋"/>
          <w:sz w:val="32"/>
          <w:szCs w:val="32"/>
        </w:rPr>
        <w:t>9. 世界机器人大会</w:t>
      </w:r>
      <w:r>
        <w:rPr>
          <w:rFonts w:hint="eastAsia" w:ascii="仿宋" w:hAnsi="仿宋" w:eastAsia="仿宋" w:cs="仿宋"/>
          <w:sz w:val="32"/>
          <w:szCs w:val="32"/>
        </w:rPr>
        <w:t>：</w:t>
      </w:r>
      <w:r>
        <w:rPr>
          <w:rFonts w:hint="eastAsia" w:ascii="仿宋_GB2312" w:eastAsia="仿宋_GB2312"/>
          <w:sz w:val="32"/>
          <w:szCs w:val="32"/>
        </w:rPr>
        <w:t>2016世界机器人大会由中国电子学会承办，分为论坛、博览会、机器人大赛等板块。博览会面积4万平米，“智能飞鸟”等诸多国际一流智能机器人产品首次来华展出，吸引近23万人次现场参观；论坛有近2万人参与，300余位全球一流专家学者与企业家登台。大会得到13家权威国际机构支持。</w:t>
      </w:r>
    </w:p>
    <w:p>
      <w:pPr>
        <w:spacing w:line="580" w:lineRule="exact"/>
        <w:ind w:firstLine="640" w:firstLineChars="200"/>
        <w:rPr>
          <w:rFonts w:ascii="仿宋_GB2312" w:eastAsia="仿宋_GB2312"/>
          <w:sz w:val="32"/>
          <w:szCs w:val="32"/>
        </w:rPr>
      </w:pPr>
      <w:r>
        <w:rPr>
          <w:rFonts w:hint="eastAsia" w:ascii="楷体_GB2312" w:hAnsi="仿宋" w:eastAsia="楷体_GB2312" w:cs="仿宋"/>
          <w:color w:val="000000"/>
          <w:sz w:val="32"/>
          <w:szCs w:val="32"/>
        </w:rPr>
        <w:t>10. 国际地理大会</w:t>
      </w:r>
      <w:r>
        <w:rPr>
          <w:rFonts w:hint="eastAsia" w:ascii="仿宋" w:hAnsi="仿宋" w:eastAsia="仿宋" w:cs="仿宋"/>
          <w:color w:val="000000"/>
          <w:sz w:val="32"/>
          <w:szCs w:val="32"/>
        </w:rPr>
        <w:t>：</w:t>
      </w:r>
      <w:r>
        <w:rPr>
          <w:rFonts w:hint="eastAsia" w:ascii="仿宋_GB2312" w:eastAsia="仿宋_GB2312"/>
          <w:sz w:val="32"/>
          <w:szCs w:val="32"/>
        </w:rPr>
        <w:t>创办于1871年，是全球规模最大、学术水平最高、影响力最强的国际地理盛会。2016年8月，由中国地理学会承办，大会第一次在中国举办，全球100多个国家和地区近5000名专家学者参会，共260个专题、400多场次报告、论坛和研讨会，其最大分论坛成为科技支撑“一带一路”建设的代表性成果。</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11.国外学会参与科技创新与社会治理情况</w:t>
      </w:r>
      <w:r>
        <w:rPr>
          <w:rFonts w:hint="eastAsia" w:ascii="仿宋" w:hAnsi="仿宋" w:eastAsia="仿宋" w:cs="仿宋"/>
          <w:color w:val="000000"/>
          <w:sz w:val="32"/>
          <w:szCs w:val="32"/>
        </w:rPr>
        <w:t>：</w:t>
      </w:r>
      <w:r>
        <w:rPr>
          <w:rFonts w:hint="eastAsia" w:ascii="仿宋_GB2312" w:eastAsia="仿宋_GB2312"/>
          <w:sz w:val="32"/>
          <w:szCs w:val="32"/>
        </w:rPr>
        <w:t>学会承担科技创新职能、参与社会治理是国际通行惯例。</w:t>
      </w:r>
    </w:p>
    <w:p>
      <w:pPr>
        <w:spacing w:line="580" w:lineRule="exact"/>
        <w:ind w:firstLine="640" w:firstLineChars="200"/>
        <w:rPr>
          <w:rFonts w:ascii="仿宋_GB2312" w:eastAsia="仿宋_GB2312"/>
          <w:sz w:val="32"/>
          <w:szCs w:val="32"/>
        </w:rPr>
      </w:pPr>
      <w:r>
        <w:rPr>
          <w:rFonts w:hint="eastAsia" w:asciiTheme="majorEastAsia" w:hAnsiTheme="majorEastAsia" w:eastAsiaTheme="majorEastAsia"/>
          <w:sz w:val="32"/>
          <w:szCs w:val="32"/>
        </w:rPr>
        <w:t>——</w:t>
      </w:r>
      <w:r>
        <w:rPr>
          <w:rFonts w:hint="eastAsia" w:ascii="仿宋_GB2312" w:eastAsia="仿宋_GB2312"/>
          <w:sz w:val="32"/>
          <w:szCs w:val="32"/>
        </w:rPr>
        <w:t>英国皇家学会。接受政府资助，组织开展科学研究计划和资助，包括资助科研机构、个人、访问学者和奖学金人员以及学术会议、出版物和学术报告活动等。同时还对国家科技发展、科研经费和人事任免等事项供咨询服务。</w:t>
      </w:r>
    </w:p>
    <w:p>
      <w:pPr>
        <w:spacing w:line="580" w:lineRule="exact"/>
        <w:ind w:firstLine="640" w:firstLineChars="200"/>
        <w:rPr>
          <w:rFonts w:ascii="仿宋_GB2312" w:eastAsia="仿宋_GB2312"/>
          <w:sz w:val="32"/>
          <w:szCs w:val="32"/>
        </w:rPr>
      </w:pPr>
      <w:r>
        <w:rPr>
          <w:rFonts w:hint="eastAsia" w:asciiTheme="majorEastAsia" w:hAnsiTheme="majorEastAsia" w:eastAsiaTheme="majorEastAsia"/>
          <w:sz w:val="32"/>
          <w:szCs w:val="32"/>
        </w:rPr>
        <w:t>——</w:t>
      </w:r>
      <w:r>
        <w:rPr>
          <w:rFonts w:hint="eastAsia" w:ascii="仿宋_GB2312" w:eastAsia="仿宋_GB2312"/>
          <w:sz w:val="32"/>
          <w:szCs w:val="32"/>
        </w:rPr>
        <w:t>德国马普学会。由德国政府联邦政府和州政府资助，支持和开展自然科学、生命科学和人文科学和社会科学等领域基础研究。学会拥有80个研究所，1.2万名雇员，其中科学家数千人。</w:t>
      </w:r>
    </w:p>
    <w:p>
      <w:pPr>
        <w:spacing w:line="580" w:lineRule="exact"/>
        <w:ind w:firstLine="640" w:firstLineChars="200"/>
        <w:rPr>
          <w:rFonts w:ascii="仿宋_GB2312" w:eastAsia="仿宋_GB2312"/>
          <w:sz w:val="32"/>
          <w:szCs w:val="32"/>
        </w:rPr>
      </w:pPr>
      <w:r>
        <w:rPr>
          <w:rFonts w:hint="eastAsia" w:asciiTheme="majorEastAsia" w:hAnsiTheme="majorEastAsia" w:eastAsiaTheme="majorEastAsia"/>
          <w:sz w:val="32"/>
          <w:szCs w:val="32"/>
        </w:rPr>
        <w:t>——</w:t>
      </w:r>
      <w:r>
        <w:rPr>
          <w:rFonts w:hint="eastAsia" w:ascii="仿宋_GB2312" w:eastAsia="仿宋_GB2312"/>
          <w:sz w:val="32"/>
          <w:szCs w:val="32"/>
        </w:rPr>
        <w:t>德国弗劳恩霍夫协会。每年为3000多家企业完成约1万余项科研开发项目。协会下设67个研究所，近2.4万名研究人员，年经费逾21亿欧元，其中2/3来自企业和公助科研委托项目，另外1/3来自联邦和各州政府资助。</w:t>
      </w:r>
    </w:p>
    <w:p>
      <w:pPr>
        <w:spacing w:line="580" w:lineRule="exact"/>
        <w:ind w:firstLine="640" w:firstLineChars="200"/>
        <w:rPr>
          <w:rFonts w:ascii="仿宋_GB2312" w:eastAsia="仿宋_GB2312"/>
          <w:sz w:val="32"/>
          <w:szCs w:val="32"/>
        </w:rPr>
      </w:pPr>
      <w:r>
        <w:rPr>
          <w:rFonts w:hint="eastAsia" w:asciiTheme="majorEastAsia" w:hAnsiTheme="majorEastAsia" w:eastAsiaTheme="majorEastAsia"/>
          <w:sz w:val="32"/>
          <w:szCs w:val="32"/>
        </w:rPr>
        <w:t>——</w:t>
      </w:r>
      <w:r>
        <w:rPr>
          <w:rFonts w:hint="eastAsia" w:ascii="仿宋_GB2312" w:eastAsia="仿宋_GB2312"/>
          <w:sz w:val="32"/>
          <w:szCs w:val="32"/>
        </w:rPr>
        <w:t>美国电气和电子工程师协会。在160多个国家拥有300余个分会及近1800个学生分会，会员40多万名，其中学生会员10万名，每年举办专业技术会议达1300余场。协会已经制定900多个现行的产业标准，覆盖电气与电子设备等多个领域。</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12. 中国汽车工程学会会员发展与服务</w:t>
      </w:r>
      <w:r>
        <w:rPr>
          <w:rFonts w:hint="eastAsia" w:ascii="仿宋_GB2312" w:eastAsia="仿宋_GB2312"/>
          <w:sz w:val="32"/>
          <w:szCs w:val="32"/>
        </w:rPr>
        <w:t>：2016年底，实际注册用户突破1.</w:t>
      </w:r>
      <w:r>
        <w:rPr>
          <w:rFonts w:ascii="仿宋_GB2312" w:eastAsia="仿宋_GB2312"/>
          <w:sz w:val="32"/>
          <w:szCs w:val="32"/>
        </w:rPr>
        <w:t>6</w:t>
      </w:r>
      <w:r>
        <w:rPr>
          <w:rFonts w:hint="eastAsia" w:ascii="仿宋_GB2312" w:eastAsia="仿宋_GB2312"/>
          <w:sz w:val="32"/>
          <w:szCs w:val="32"/>
        </w:rPr>
        <w:t>万人，缴费会员突破1万人，2017年计划注册用户突破4.</w:t>
      </w:r>
      <w:r>
        <w:rPr>
          <w:rFonts w:ascii="仿宋_GB2312" w:eastAsia="仿宋_GB2312"/>
          <w:sz w:val="32"/>
          <w:szCs w:val="32"/>
        </w:rPr>
        <w:t>5</w:t>
      </w:r>
      <w:r>
        <w:rPr>
          <w:rFonts w:hint="eastAsia" w:ascii="仿宋_GB2312" w:eastAsia="仿宋_GB2312"/>
          <w:sz w:val="32"/>
          <w:szCs w:val="32"/>
        </w:rPr>
        <w:t>万人，其中缴费会员突破2.5万人；建立包括会士、高级会员、普通会员、学生会员的四级个人会员体系；将会员数量列入分支机构设立的基本指标，将年度发展新会员数量和会费缴费率作为分支机构考核指标；建立信息化网络化会员服务系统。</w:t>
      </w:r>
    </w:p>
    <w:p>
      <w:pPr>
        <w:shd w:val="clear" w:color="auto" w:fill="FFFFFF"/>
        <w:spacing w:line="580" w:lineRule="exact"/>
        <w:ind w:firstLine="640" w:firstLineChars="200"/>
        <w:rPr>
          <w:rFonts w:ascii="仿宋_GB2312" w:eastAsia="仿宋_GB2312"/>
          <w:sz w:val="32"/>
          <w:szCs w:val="32"/>
        </w:rPr>
      </w:pPr>
      <w:r>
        <w:rPr>
          <w:rFonts w:hint="eastAsia" w:ascii="楷体_GB2312" w:eastAsia="楷体_GB2312"/>
          <w:sz w:val="32"/>
          <w:szCs w:val="32"/>
        </w:rPr>
        <w:t>13. 中国计算机学会会员发展与服</w:t>
      </w:r>
      <w:r>
        <w:rPr>
          <w:rFonts w:hint="eastAsia" w:ascii="仿宋_GB2312" w:eastAsia="仿宋_GB2312"/>
          <w:sz w:val="32"/>
          <w:szCs w:val="32"/>
        </w:rPr>
        <w:t>务：2016年底，学会会员总数3.5万余人，100%为付费会员，年度新发展会员近1.2万人。购买IEEE CS计算机专业杂志中文版提供会员免费阅读；28个会员活动中心和30个大学生分会组织110余场会员活动；会员可通过手机端快捷办理入会和续费。</w:t>
      </w:r>
    </w:p>
    <w:p>
      <w:pPr>
        <w:shd w:val="clear" w:color="auto" w:fill="FFFFFF"/>
        <w:spacing w:line="580" w:lineRule="exact"/>
        <w:ind w:firstLine="640" w:firstLineChars="200"/>
        <w:rPr>
          <w:rFonts w:ascii="仿宋_GB2312" w:eastAsia="仿宋_GB2312"/>
          <w:sz w:val="32"/>
          <w:szCs w:val="32"/>
        </w:rPr>
      </w:pPr>
      <w:r>
        <w:rPr>
          <w:rFonts w:hint="eastAsia" w:ascii="楷体_GB2312" w:eastAsia="楷体_GB2312"/>
          <w:sz w:val="32"/>
          <w:szCs w:val="32"/>
        </w:rPr>
        <w:t>14. 中国仪器仪表学会党建工作</w:t>
      </w:r>
      <w:r>
        <w:rPr>
          <w:rFonts w:hint="eastAsia" w:ascii="仿宋_GB2312" w:eastAsia="仿宋_GB2312"/>
          <w:sz w:val="32"/>
          <w:szCs w:val="32"/>
        </w:rPr>
        <w:t>：</w:t>
      </w:r>
      <w:r>
        <w:rPr>
          <w:rFonts w:hint="eastAsia" w:ascii="仿宋_GB2312" w:hAnsi="仿宋" w:eastAsia="仿宋_GB2312"/>
          <w:sz w:val="32"/>
          <w:szCs w:val="32"/>
          <w:lang w:val="zh-CN"/>
        </w:rPr>
        <w:t>坚持“围绕业务抓党建，抓好党建促业务”，</w:t>
      </w:r>
      <w:r>
        <w:rPr>
          <w:rFonts w:hint="eastAsia" w:ascii="仿宋_GB2312" w:hAnsi="仿宋_GB2312" w:eastAsia="仿宋_GB2312" w:cs="仿宋_GB2312"/>
          <w:sz w:val="32"/>
          <w:lang w:val="zh-CN"/>
        </w:rPr>
        <w:t>成立学会党委，制定《三会一课制度》、《党员学习制度》、《民主评议党员制度》等12项党的工作制度。通过革命传统教育培训班、员工能力提升培训班等，加强对党员干部的学习培训、教育管理，全面提升党员干部的思想政治素质和业务素质。</w:t>
      </w:r>
    </w:p>
    <w:p>
      <w:pPr>
        <w:pStyle w:val="2"/>
        <w:adjustRightInd w:val="0"/>
        <w:snapToGrid w:val="0"/>
        <w:spacing w:line="580" w:lineRule="exact"/>
        <w:ind w:firstLine="640" w:firstLineChars="200"/>
        <w:rPr>
          <w:rFonts w:ascii="仿宋_GB2312" w:hAnsi="仿宋_GB2312" w:eastAsia="仿宋_GB2312" w:cs="仿宋_GB2312"/>
          <w:sz w:val="32"/>
          <w:lang w:val="zh-CN"/>
        </w:rPr>
      </w:pPr>
      <w:r>
        <w:rPr>
          <w:rFonts w:hint="eastAsia" w:ascii="楷体_GB2312" w:eastAsia="楷体_GB2312"/>
          <w:sz w:val="32"/>
          <w:szCs w:val="32"/>
        </w:rPr>
        <w:t>15. 中国老科技工作者协会亮点活动</w:t>
      </w:r>
      <w:r>
        <w:rPr>
          <w:rFonts w:hint="eastAsia" w:ascii="仿宋_GB2312" w:hAnsi="仿宋_GB2312" w:eastAsia="仿宋_GB2312" w:cs="仿宋_GB2312"/>
          <w:sz w:val="32"/>
          <w:lang w:val="zh-CN"/>
        </w:rPr>
        <w:t>：在协会推动下，2016年12月，中国科协、科技部、人力资源社会保障部印发《关于进一步加强和改进老科技工作者协会工作的意见》；设立的中国老科学技术工作者协会奖形成广泛影响；举办全国老科协工作改革发展论坛，积极做好决策咨询和建言献策工作；成立老科协创新发展研究中心，形成了一批有影响力的调查报告；围绕服务“三农”、服务企业，组织老科技工作者下乡，组织老专家科技服务团帮扶中小微企业。</w:t>
      </w:r>
    </w:p>
    <w:p>
      <w:pPr>
        <w:pStyle w:val="2"/>
        <w:adjustRightInd w:val="0"/>
        <w:snapToGrid w:val="0"/>
        <w:spacing w:line="580" w:lineRule="exact"/>
        <w:ind w:firstLine="600" w:firstLineChars="200"/>
        <w:rPr>
          <w:rFonts w:ascii="仿宋_GB2312" w:eastAsia="仿宋_GB2312"/>
          <w:sz w:val="30"/>
          <w:szCs w:val="30"/>
        </w:rPr>
      </w:pPr>
    </w:p>
    <w:p>
      <w:pPr>
        <w:widowControl/>
        <w:jc w:val="left"/>
        <w:rPr>
          <w:rFonts w:ascii="仿宋_GB2312" w:eastAsia="仿宋_GB2312"/>
          <w:sz w:val="30"/>
          <w:szCs w:val="30"/>
        </w:rPr>
      </w:pPr>
      <w:r>
        <w:rPr>
          <w:rFonts w:ascii="仿宋_GB2312" w:eastAsia="仿宋_GB2312"/>
          <w:sz w:val="30"/>
          <w:szCs w:val="30"/>
        </w:rPr>
        <w:br w:type="page"/>
      </w:r>
    </w:p>
    <w:p>
      <w:pPr>
        <w:tabs>
          <w:tab w:val="left" w:pos="6480"/>
        </w:tabs>
        <w:spacing w:line="580" w:lineRule="exact"/>
        <w:ind w:firstLine="600" w:firstLineChars="200"/>
        <w:rPr>
          <w:rFonts w:ascii="仿宋_GB2312" w:eastAsia="仿宋_GB2312"/>
          <w:sz w:val="30"/>
          <w:szCs w:val="30"/>
        </w:rPr>
      </w:pPr>
    </w:p>
    <w:p>
      <w:pPr>
        <w:tabs>
          <w:tab w:val="left" w:pos="6480"/>
        </w:tabs>
        <w:spacing w:line="580" w:lineRule="exact"/>
        <w:ind w:firstLine="600" w:firstLineChars="200"/>
        <w:rPr>
          <w:rFonts w:ascii="仿宋_GB2312" w:eastAsia="仿宋_GB2312"/>
          <w:sz w:val="30"/>
          <w:szCs w:val="30"/>
        </w:rPr>
      </w:pPr>
    </w:p>
    <w:p>
      <w:pPr>
        <w:tabs>
          <w:tab w:val="left" w:pos="6480"/>
        </w:tabs>
        <w:spacing w:line="580" w:lineRule="exact"/>
        <w:ind w:firstLine="600" w:firstLineChars="200"/>
        <w:rPr>
          <w:rFonts w:ascii="仿宋_GB2312" w:eastAsia="仿宋_GB2312"/>
          <w:sz w:val="30"/>
          <w:szCs w:val="30"/>
        </w:rPr>
      </w:pPr>
    </w:p>
    <w:p>
      <w:pPr>
        <w:tabs>
          <w:tab w:val="left" w:pos="6480"/>
        </w:tabs>
        <w:spacing w:line="580" w:lineRule="exact"/>
        <w:ind w:firstLine="600" w:firstLineChars="200"/>
        <w:rPr>
          <w:rFonts w:ascii="仿宋_GB2312" w:eastAsia="仿宋_GB2312"/>
          <w:sz w:val="30"/>
          <w:szCs w:val="30"/>
        </w:rPr>
      </w:pPr>
    </w:p>
    <w:p>
      <w:pPr>
        <w:tabs>
          <w:tab w:val="left" w:pos="6480"/>
        </w:tabs>
        <w:spacing w:line="580" w:lineRule="exact"/>
        <w:ind w:firstLine="600" w:firstLineChars="200"/>
        <w:rPr>
          <w:rFonts w:ascii="仿宋_GB2312" w:eastAsia="仿宋_GB2312"/>
          <w:sz w:val="30"/>
          <w:szCs w:val="30"/>
        </w:rPr>
      </w:pPr>
    </w:p>
    <w:p>
      <w:pPr>
        <w:tabs>
          <w:tab w:val="left" w:pos="6480"/>
        </w:tabs>
        <w:spacing w:line="580" w:lineRule="exact"/>
        <w:ind w:firstLine="600" w:firstLineChars="200"/>
        <w:rPr>
          <w:rFonts w:ascii="仿宋_GB2312" w:eastAsia="仿宋_GB2312"/>
          <w:sz w:val="30"/>
          <w:szCs w:val="30"/>
        </w:rPr>
      </w:pPr>
    </w:p>
    <w:p>
      <w:pPr>
        <w:tabs>
          <w:tab w:val="left" w:pos="6480"/>
        </w:tabs>
        <w:spacing w:line="580" w:lineRule="exact"/>
        <w:ind w:firstLine="600" w:firstLineChars="200"/>
        <w:rPr>
          <w:rFonts w:ascii="仿宋_GB2312" w:eastAsia="仿宋_GB2312"/>
          <w:sz w:val="30"/>
          <w:szCs w:val="30"/>
        </w:rPr>
      </w:pPr>
    </w:p>
    <w:p>
      <w:pPr>
        <w:tabs>
          <w:tab w:val="left" w:pos="6480"/>
        </w:tabs>
        <w:spacing w:line="580" w:lineRule="exact"/>
        <w:ind w:firstLine="600" w:firstLineChars="200"/>
        <w:rPr>
          <w:rFonts w:ascii="仿宋_GB2312" w:eastAsia="仿宋_GB2312"/>
          <w:sz w:val="30"/>
          <w:szCs w:val="30"/>
        </w:rPr>
      </w:pPr>
    </w:p>
    <w:p>
      <w:pPr>
        <w:tabs>
          <w:tab w:val="left" w:pos="6480"/>
        </w:tabs>
        <w:spacing w:line="580" w:lineRule="exact"/>
        <w:ind w:firstLine="600" w:firstLineChars="200"/>
        <w:rPr>
          <w:rFonts w:ascii="仿宋_GB2312" w:eastAsia="仿宋_GB2312"/>
          <w:sz w:val="30"/>
          <w:szCs w:val="30"/>
        </w:rPr>
      </w:pPr>
    </w:p>
    <w:p>
      <w:pPr>
        <w:tabs>
          <w:tab w:val="left" w:pos="6480"/>
        </w:tabs>
        <w:spacing w:line="600" w:lineRule="exact"/>
        <w:ind w:firstLine="600" w:firstLineChars="200"/>
        <w:rPr>
          <w:rFonts w:ascii="仿宋_GB2312" w:eastAsia="仿宋_GB2312"/>
          <w:sz w:val="30"/>
          <w:szCs w:val="30"/>
        </w:rPr>
      </w:pPr>
    </w:p>
    <w:p>
      <w:pPr>
        <w:tabs>
          <w:tab w:val="left" w:pos="6480"/>
        </w:tabs>
        <w:spacing w:line="600" w:lineRule="exact"/>
        <w:ind w:firstLine="600" w:firstLineChars="200"/>
        <w:rPr>
          <w:rFonts w:ascii="仿宋_GB2312" w:eastAsia="仿宋_GB2312"/>
          <w:sz w:val="30"/>
          <w:szCs w:val="30"/>
        </w:rPr>
      </w:pPr>
    </w:p>
    <w:p>
      <w:pPr>
        <w:tabs>
          <w:tab w:val="left" w:pos="6480"/>
        </w:tabs>
        <w:spacing w:line="400" w:lineRule="exact"/>
        <w:ind w:firstLine="600" w:firstLineChars="200"/>
        <w:rPr>
          <w:rFonts w:hint="eastAsia" w:ascii="仿宋_GB2312" w:eastAsia="仿宋_GB2312"/>
          <w:sz w:val="30"/>
          <w:szCs w:val="30"/>
        </w:rPr>
      </w:pPr>
    </w:p>
    <w:p>
      <w:pPr>
        <w:tabs>
          <w:tab w:val="left" w:pos="6480"/>
        </w:tabs>
        <w:spacing w:line="400" w:lineRule="exact"/>
        <w:ind w:firstLine="600" w:firstLineChars="200"/>
        <w:rPr>
          <w:rFonts w:hint="eastAsia" w:ascii="仿宋_GB2312" w:eastAsia="仿宋_GB2312"/>
          <w:sz w:val="30"/>
          <w:szCs w:val="30"/>
        </w:rPr>
      </w:pPr>
    </w:p>
    <w:p>
      <w:pPr>
        <w:tabs>
          <w:tab w:val="left" w:pos="6480"/>
        </w:tabs>
        <w:spacing w:line="400" w:lineRule="exact"/>
        <w:ind w:firstLine="600" w:firstLineChars="200"/>
        <w:rPr>
          <w:rFonts w:hint="eastAsia" w:ascii="仿宋_GB2312" w:eastAsia="仿宋_GB2312"/>
          <w:sz w:val="30"/>
          <w:szCs w:val="30"/>
        </w:rPr>
      </w:pPr>
    </w:p>
    <w:p>
      <w:pPr>
        <w:tabs>
          <w:tab w:val="left" w:pos="6480"/>
        </w:tabs>
        <w:spacing w:line="400" w:lineRule="exact"/>
        <w:ind w:firstLine="600" w:firstLineChars="200"/>
        <w:rPr>
          <w:rFonts w:hint="eastAsia" w:ascii="仿宋_GB2312" w:eastAsia="仿宋_GB2312"/>
          <w:sz w:val="30"/>
          <w:szCs w:val="30"/>
        </w:rPr>
      </w:pPr>
    </w:p>
    <w:p>
      <w:pPr>
        <w:tabs>
          <w:tab w:val="left" w:pos="6480"/>
        </w:tabs>
        <w:spacing w:line="400" w:lineRule="exact"/>
        <w:ind w:firstLine="600" w:firstLineChars="200"/>
        <w:rPr>
          <w:rFonts w:hint="eastAsia" w:ascii="仿宋_GB2312" w:eastAsia="仿宋_GB2312"/>
          <w:sz w:val="30"/>
          <w:szCs w:val="30"/>
        </w:rPr>
      </w:pPr>
    </w:p>
    <w:p>
      <w:pPr>
        <w:tabs>
          <w:tab w:val="left" w:pos="6480"/>
        </w:tabs>
        <w:spacing w:line="400" w:lineRule="exact"/>
        <w:ind w:firstLine="600" w:firstLineChars="200"/>
        <w:rPr>
          <w:rFonts w:hint="eastAsia" w:ascii="仿宋_GB2312" w:eastAsia="仿宋_GB2312"/>
          <w:sz w:val="30"/>
          <w:szCs w:val="30"/>
        </w:rPr>
      </w:pPr>
    </w:p>
    <w:p>
      <w:pPr>
        <w:tabs>
          <w:tab w:val="left" w:pos="6480"/>
        </w:tabs>
        <w:spacing w:line="400" w:lineRule="exact"/>
        <w:ind w:firstLine="600" w:firstLineChars="200"/>
        <w:rPr>
          <w:rFonts w:hint="eastAsia" w:ascii="仿宋_GB2312" w:eastAsia="仿宋_GB2312"/>
          <w:sz w:val="30"/>
          <w:szCs w:val="30"/>
        </w:rPr>
      </w:pPr>
    </w:p>
    <w:p>
      <w:pPr>
        <w:tabs>
          <w:tab w:val="left" w:pos="6480"/>
        </w:tabs>
        <w:spacing w:line="400" w:lineRule="exact"/>
        <w:ind w:firstLine="600" w:firstLineChars="200"/>
        <w:rPr>
          <w:rFonts w:hint="eastAsia" w:ascii="仿宋_GB2312" w:eastAsia="仿宋_GB2312"/>
          <w:sz w:val="30"/>
          <w:szCs w:val="30"/>
        </w:rPr>
      </w:pPr>
    </w:p>
    <w:p>
      <w:pPr>
        <w:tabs>
          <w:tab w:val="left" w:pos="6480"/>
        </w:tabs>
        <w:spacing w:line="400" w:lineRule="exact"/>
        <w:ind w:firstLine="600" w:firstLineChars="200"/>
        <w:rPr>
          <w:rFonts w:hint="eastAsia" w:ascii="仿宋_GB2312" w:eastAsia="仿宋_GB2312"/>
          <w:sz w:val="30"/>
          <w:szCs w:val="30"/>
        </w:rPr>
      </w:pPr>
    </w:p>
    <w:p>
      <w:pPr>
        <w:tabs>
          <w:tab w:val="left" w:pos="6480"/>
        </w:tabs>
        <w:spacing w:line="400" w:lineRule="exact"/>
        <w:ind w:firstLine="600" w:firstLineChars="200"/>
        <w:rPr>
          <w:rFonts w:hint="eastAsia" w:ascii="仿宋_GB2312" w:eastAsia="仿宋_GB2312"/>
          <w:sz w:val="30"/>
          <w:szCs w:val="30"/>
        </w:rPr>
      </w:pPr>
    </w:p>
    <w:p>
      <w:pPr>
        <w:tabs>
          <w:tab w:val="left" w:pos="6480"/>
        </w:tabs>
        <w:spacing w:line="200" w:lineRule="exact"/>
        <w:ind w:firstLine="600" w:firstLineChars="200"/>
        <w:rPr>
          <w:rFonts w:ascii="仿宋_GB2312" w:eastAsia="仿宋_GB2312"/>
          <w:sz w:val="30"/>
          <w:szCs w:val="30"/>
        </w:rPr>
      </w:pPr>
    </w:p>
    <w:tbl>
      <w:tblPr>
        <w:tblStyle w:val="9"/>
        <w:tblW w:w="8833" w:type="dxa"/>
        <w:tblInd w:w="28" w:type="dxa"/>
        <w:tblLayout w:type="fixed"/>
        <w:tblCellMar>
          <w:top w:w="0" w:type="dxa"/>
          <w:left w:w="28" w:type="dxa"/>
          <w:bottom w:w="0" w:type="dxa"/>
          <w:right w:w="28" w:type="dxa"/>
        </w:tblCellMar>
      </w:tblPr>
      <w:tblGrid>
        <w:gridCol w:w="8833"/>
      </w:tblGrid>
      <w:tr>
        <w:tblPrEx>
          <w:tblLayout w:type="fixed"/>
          <w:tblCellMar>
            <w:top w:w="0" w:type="dxa"/>
            <w:left w:w="28" w:type="dxa"/>
            <w:bottom w:w="0" w:type="dxa"/>
            <w:right w:w="28" w:type="dxa"/>
          </w:tblCellMar>
        </w:tblPrEx>
        <w:trPr>
          <w:trHeight w:val="567" w:hRule="atLeast"/>
        </w:trPr>
        <w:tc>
          <w:tcPr>
            <w:tcW w:w="8833" w:type="dxa"/>
            <w:tcBorders>
              <w:top w:val="single" w:color="auto" w:sz="12" w:space="0"/>
              <w:left w:val="nil"/>
              <w:bottom w:val="single" w:color="auto" w:sz="12" w:space="0"/>
              <w:right w:val="nil"/>
            </w:tcBorders>
          </w:tcPr>
          <w:p>
            <w:pPr>
              <w:spacing w:line="440" w:lineRule="exact"/>
              <w:textAlignment w:val="bottom"/>
              <w:rPr>
                <w:rFonts w:eastAsia="仿宋_GB2312"/>
                <w:color w:val="000000"/>
                <w:sz w:val="28"/>
                <w:szCs w:val="28"/>
              </w:rPr>
            </w:pPr>
            <w:r>
              <w:rPr>
                <w:rFonts w:hint="eastAsia" w:eastAsia="仿宋_GB2312"/>
                <w:color w:val="000000"/>
                <w:sz w:val="28"/>
                <w:szCs w:val="28"/>
              </w:rPr>
              <w:t>分送：中国科协主席，</w:t>
            </w:r>
            <w:r>
              <w:rPr>
                <w:rFonts w:hint="eastAsia" w:eastAsia="仿宋_GB2312"/>
                <w:color w:val="000000"/>
                <w:sz w:val="28"/>
                <w:szCs w:val="28"/>
                <w:lang w:val="en-US" w:eastAsia="zh-CN"/>
              </w:rPr>
              <w:t>副主席，常委，</w:t>
            </w:r>
            <w:r>
              <w:rPr>
                <w:rFonts w:hint="eastAsia" w:eastAsia="仿宋_GB2312"/>
                <w:color w:val="000000"/>
                <w:sz w:val="28"/>
                <w:szCs w:val="28"/>
              </w:rPr>
              <w:t>书记处书记，党组成员。</w:t>
            </w:r>
          </w:p>
          <w:p>
            <w:pPr>
              <w:spacing w:line="440" w:lineRule="exact"/>
              <w:ind w:left="930" w:leftChars="420" w:hanging="48" w:hangingChars="17"/>
              <w:textAlignment w:val="bottom"/>
              <w:rPr>
                <w:rFonts w:eastAsia="仿宋_GB2312"/>
                <w:color w:val="000000"/>
                <w:sz w:val="28"/>
                <w:szCs w:val="28"/>
              </w:rPr>
            </w:pPr>
            <w:r>
              <w:rPr>
                <w:rFonts w:hint="eastAsia" w:eastAsia="仿宋_GB2312"/>
                <w:color w:val="000000"/>
                <w:sz w:val="28"/>
                <w:szCs w:val="28"/>
              </w:rPr>
              <w:t>各全国学会、协会、研究会。</w:t>
            </w:r>
          </w:p>
          <w:p>
            <w:pPr>
              <w:spacing w:line="440" w:lineRule="exact"/>
              <w:ind w:left="930" w:leftChars="420" w:hanging="48" w:hangingChars="17"/>
              <w:textAlignment w:val="bottom"/>
              <w:rPr>
                <w:rFonts w:eastAsia="仿宋_GB2312"/>
                <w:color w:val="000000"/>
                <w:sz w:val="28"/>
                <w:szCs w:val="28"/>
              </w:rPr>
            </w:pPr>
            <w:r>
              <w:rPr>
                <w:rFonts w:hint="eastAsia" w:eastAsia="仿宋_GB2312"/>
                <w:color w:val="000000"/>
                <w:sz w:val="28"/>
                <w:szCs w:val="28"/>
              </w:rPr>
              <w:t>各省、自治区、直辖市科协，副省级城市科协。</w:t>
            </w:r>
          </w:p>
          <w:p>
            <w:pPr>
              <w:spacing w:line="440" w:lineRule="exact"/>
              <w:ind w:left="930" w:leftChars="420" w:hanging="48" w:hangingChars="17"/>
              <w:textAlignment w:val="bottom"/>
              <w:rPr>
                <w:rFonts w:eastAsia="仿宋_GB2312"/>
                <w:color w:val="000000"/>
                <w:sz w:val="30"/>
                <w:szCs w:val="30"/>
              </w:rPr>
            </w:pPr>
            <w:r>
              <w:rPr>
                <w:rFonts w:hint="eastAsia" w:eastAsia="仿宋_GB2312"/>
                <w:color w:val="000000"/>
                <w:sz w:val="28"/>
                <w:szCs w:val="28"/>
              </w:rPr>
              <w:t>中国科协机关各部门，各直属单位。</w:t>
            </w:r>
          </w:p>
        </w:tc>
      </w:tr>
    </w:tbl>
    <w:p>
      <w:pPr>
        <w:tabs>
          <w:tab w:val="left" w:pos="6480"/>
        </w:tabs>
        <w:spacing w:line="20" w:lineRule="exact"/>
        <w:ind w:firstLine="600" w:firstLineChars="200"/>
        <w:rPr>
          <w:rFonts w:ascii="仿宋_GB2312" w:eastAsia="仿宋_GB2312"/>
          <w:sz w:val="30"/>
          <w:szCs w:val="30"/>
        </w:rPr>
      </w:pPr>
    </w:p>
    <w:sectPr>
      <w:footerReference r:id="rId3" w:type="default"/>
      <w:footerReference r:id="rId4" w:type="even"/>
      <w:pgSz w:w="11906" w:h="16838"/>
      <w:pgMar w:top="2098" w:right="1474" w:bottom="992" w:left="1588" w:header="0"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w:t>
    </w:r>
    <w:r>
      <w:rPr>
        <w:rStyle w:val="8"/>
        <w:sz w:val="28"/>
        <w:szCs w:val="28"/>
      </w:rPr>
      <w:fldChar w:fldCharType="end"/>
    </w:r>
    <w:r>
      <w:rPr>
        <w:rStyle w:val="8"/>
        <w:rFonts w:hint="eastAsia"/>
        <w:sz w:val="28"/>
        <w:szCs w:val="28"/>
      </w:rPr>
      <w:t xml:space="preserve"> —</w: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6F87"/>
    <w:rsid w:val="000041B2"/>
    <w:rsid w:val="000515ED"/>
    <w:rsid w:val="000B38E2"/>
    <w:rsid w:val="000F3F19"/>
    <w:rsid w:val="0010338F"/>
    <w:rsid w:val="00121371"/>
    <w:rsid w:val="00122C7F"/>
    <w:rsid w:val="00123C13"/>
    <w:rsid w:val="00133006"/>
    <w:rsid w:val="001548CB"/>
    <w:rsid w:val="001740C7"/>
    <w:rsid w:val="0017673E"/>
    <w:rsid w:val="00182910"/>
    <w:rsid w:val="001A2E29"/>
    <w:rsid w:val="001B4408"/>
    <w:rsid w:val="001D101E"/>
    <w:rsid w:val="001F2DAF"/>
    <w:rsid w:val="00220764"/>
    <w:rsid w:val="002562FE"/>
    <w:rsid w:val="00261FC4"/>
    <w:rsid w:val="00272449"/>
    <w:rsid w:val="00272AFB"/>
    <w:rsid w:val="0027433C"/>
    <w:rsid w:val="002747E6"/>
    <w:rsid w:val="00282B03"/>
    <w:rsid w:val="002A7708"/>
    <w:rsid w:val="002B7BCE"/>
    <w:rsid w:val="002E4FAC"/>
    <w:rsid w:val="00300B07"/>
    <w:rsid w:val="00313F1F"/>
    <w:rsid w:val="00314736"/>
    <w:rsid w:val="00316F38"/>
    <w:rsid w:val="0033002F"/>
    <w:rsid w:val="003707E5"/>
    <w:rsid w:val="0037512D"/>
    <w:rsid w:val="003913FC"/>
    <w:rsid w:val="00392E3D"/>
    <w:rsid w:val="003B26BF"/>
    <w:rsid w:val="003D6531"/>
    <w:rsid w:val="003E0A0F"/>
    <w:rsid w:val="003F4AAA"/>
    <w:rsid w:val="003F73D1"/>
    <w:rsid w:val="00461397"/>
    <w:rsid w:val="00475B1C"/>
    <w:rsid w:val="00492395"/>
    <w:rsid w:val="004C5AFF"/>
    <w:rsid w:val="00501903"/>
    <w:rsid w:val="00506339"/>
    <w:rsid w:val="00507FA0"/>
    <w:rsid w:val="00515881"/>
    <w:rsid w:val="0055360D"/>
    <w:rsid w:val="00553FBD"/>
    <w:rsid w:val="00593990"/>
    <w:rsid w:val="005F1DCD"/>
    <w:rsid w:val="00607B2F"/>
    <w:rsid w:val="0063587F"/>
    <w:rsid w:val="0064470C"/>
    <w:rsid w:val="00652D2B"/>
    <w:rsid w:val="0066756D"/>
    <w:rsid w:val="00667A56"/>
    <w:rsid w:val="00684964"/>
    <w:rsid w:val="006925F7"/>
    <w:rsid w:val="006C1397"/>
    <w:rsid w:val="006F3362"/>
    <w:rsid w:val="006F4FCD"/>
    <w:rsid w:val="007020CB"/>
    <w:rsid w:val="00713DFB"/>
    <w:rsid w:val="00716965"/>
    <w:rsid w:val="00725403"/>
    <w:rsid w:val="00741E8C"/>
    <w:rsid w:val="0077668F"/>
    <w:rsid w:val="007972DE"/>
    <w:rsid w:val="007A3FF8"/>
    <w:rsid w:val="007D38A4"/>
    <w:rsid w:val="007F5A74"/>
    <w:rsid w:val="00804CEE"/>
    <w:rsid w:val="00813367"/>
    <w:rsid w:val="00880CB6"/>
    <w:rsid w:val="00884AFF"/>
    <w:rsid w:val="008A2B9E"/>
    <w:rsid w:val="008B4C3E"/>
    <w:rsid w:val="008B4E3C"/>
    <w:rsid w:val="0094650F"/>
    <w:rsid w:val="00960997"/>
    <w:rsid w:val="00963616"/>
    <w:rsid w:val="00974757"/>
    <w:rsid w:val="00990FFC"/>
    <w:rsid w:val="009B2FC9"/>
    <w:rsid w:val="009F6A34"/>
    <w:rsid w:val="00A0244E"/>
    <w:rsid w:val="00A06962"/>
    <w:rsid w:val="00A122FE"/>
    <w:rsid w:val="00A15BCE"/>
    <w:rsid w:val="00A937D3"/>
    <w:rsid w:val="00AA53DE"/>
    <w:rsid w:val="00AA5BD4"/>
    <w:rsid w:val="00AC67AB"/>
    <w:rsid w:val="00AD246E"/>
    <w:rsid w:val="00AD52FE"/>
    <w:rsid w:val="00AF5273"/>
    <w:rsid w:val="00AF6F87"/>
    <w:rsid w:val="00B13D22"/>
    <w:rsid w:val="00B26156"/>
    <w:rsid w:val="00B3732D"/>
    <w:rsid w:val="00B55CD1"/>
    <w:rsid w:val="00B87C44"/>
    <w:rsid w:val="00BB38A5"/>
    <w:rsid w:val="00BE76A9"/>
    <w:rsid w:val="00C3700C"/>
    <w:rsid w:val="00C446D2"/>
    <w:rsid w:val="00CA66B6"/>
    <w:rsid w:val="00CC111C"/>
    <w:rsid w:val="00CE61F8"/>
    <w:rsid w:val="00CF5E76"/>
    <w:rsid w:val="00CF5FFB"/>
    <w:rsid w:val="00D05A0F"/>
    <w:rsid w:val="00D17889"/>
    <w:rsid w:val="00D23059"/>
    <w:rsid w:val="00D46DF6"/>
    <w:rsid w:val="00D63654"/>
    <w:rsid w:val="00DB7F1D"/>
    <w:rsid w:val="00DF2D7F"/>
    <w:rsid w:val="00DF4CEA"/>
    <w:rsid w:val="00E05767"/>
    <w:rsid w:val="00E41B61"/>
    <w:rsid w:val="00E51C52"/>
    <w:rsid w:val="00E63286"/>
    <w:rsid w:val="00EC5722"/>
    <w:rsid w:val="00EC5E4E"/>
    <w:rsid w:val="00ED4C20"/>
    <w:rsid w:val="00ED6E91"/>
    <w:rsid w:val="00EF2185"/>
    <w:rsid w:val="00F02464"/>
    <w:rsid w:val="00F17111"/>
    <w:rsid w:val="00F27157"/>
    <w:rsid w:val="00F43D13"/>
    <w:rsid w:val="00FE54D1"/>
    <w:rsid w:val="00FF2893"/>
    <w:rsid w:val="12C82F48"/>
    <w:rsid w:val="1EF64B69"/>
    <w:rsid w:val="25A24CD6"/>
    <w:rsid w:val="5D1B0E8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5"/>
    <w:qFormat/>
    <w:uiPriority w:val="0"/>
    <w:rPr>
      <w:rFonts w:ascii="宋体" w:hAnsi="Courier New" w:cs="Courier New"/>
      <w:szCs w:val="21"/>
    </w:rPr>
  </w:style>
  <w:style w:type="paragraph" w:styleId="3">
    <w:name w:val="Balloon Text"/>
    <w:basedOn w:val="1"/>
    <w:link w:val="14"/>
    <w:semiHidden/>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10">
    <w:name w:val="页脚 Char"/>
    <w:basedOn w:val="7"/>
    <w:link w:val="4"/>
    <w:qFormat/>
    <w:uiPriority w:val="99"/>
    <w:rPr>
      <w:kern w:val="2"/>
      <w:sz w:val="18"/>
      <w:szCs w:val="18"/>
    </w:rPr>
  </w:style>
  <w:style w:type="paragraph" w:customStyle="1" w:styleId="11">
    <w:name w:val="p0"/>
    <w:basedOn w:val="1"/>
    <w:qFormat/>
    <w:uiPriority w:val="0"/>
    <w:pPr>
      <w:widowControl/>
    </w:pPr>
    <w:rPr>
      <w:kern w:val="0"/>
      <w:szCs w:val="21"/>
    </w:rPr>
  </w:style>
  <w:style w:type="paragraph" w:customStyle="1" w:styleId="12">
    <w:name w:val="List Paragraph1"/>
    <w:basedOn w:val="1"/>
    <w:qFormat/>
    <w:uiPriority w:val="99"/>
    <w:pPr>
      <w:spacing w:line="580" w:lineRule="exact"/>
      <w:ind w:firstLine="420" w:firstLineChars="200"/>
    </w:pPr>
    <w:rPr>
      <w:rFonts w:ascii="Calibri" w:hAnsi="Calibri" w:cs="Calibri"/>
      <w:szCs w:val="21"/>
    </w:rPr>
  </w:style>
  <w:style w:type="character" w:customStyle="1" w:styleId="13">
    <w:name w:val="页眉 Char"/>
    <w:basedOn w:val="7"/>
    <w:link w:val="5"/>
    <w:qFormat/>
    <w:locked/>
    <w:uiPriority w:val="99"/>
    <w:rPr>
      <w:kern w:val="2"/>
      <w:sz w:val="18"/>
      <w:szCs w:val="18"/>
    </w:rPr>
  </w:style>
  <w:style w:type="character" w:customStyle="1" w:styleId="14">
    <w:name w:val="批注框文本 Char"/>
    <w:basedOn w:val="7"/>
    <w:link w:val="3"/>
    <w:semiHidden/>
    <w:qFormat/>
    <w:locked/>
    <w:uiPriority w:val="99"/>
    <w:rPr>
      <w:kern w:val="2"/>
      <w:sz w:val="18"/>
      <w:szCs w:val="18"/>
    </w:rPr>
  </w:style>
  <w:style w:type="character" w:customStyle="1" w:styleId="15">
    <w:name w:val="纯文本 Char"/>
    <w:basedOn w:val="7"/>
    <w:link w:val="2"/>
    <w:qFormat/>
    <w:uiPriority w:val="0"/>
    <w:rPr>
      <w:rFonts w:ascii="宋体" w:hAnsi="Courier New" w:cs="Courier New"/>
      <w:kern w:val="2"/>
      <w:sz w:val="21"/>
      <w:szCs w:val="21"/>
    </w:rPr>
  </w:style>
  <w:style w:type="paragraph" w:customStyle="1" w:styleId="16">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A1F59-5638-420F-B7EF-12C860F018AC}">
  <ds:schemaRefs/>
</ds:datastoreItem>
</file>

<file path=docProps/app.xml><?xml version="1.0" encoding="utf-8"?>
<Properties xmlns="http://schemas.openxmlformats.org/officeDocument/2006/extended-properties" xmlns:vt="http://schemas.openxmlformats.org/officeDocument/2006/docPropsVTypes">
  <Template>Normal</Template>
  <Company>cast</Company>
  <Pages>18</Pages>
  <Words>1388</Words>
  <Characters>7913</Characters>
  <Lines>65</Lines>
  <Paragraphs>18</Paragraphs>
  <ScaleCrop>false</ScaleCrop>
  <LinksUpToDate>false</LinksUpToDate>
  <CharactersWithSpaces>9283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2017-03-13T08:34:00Z</dcterms:created>
  <dc:creator>nfg</dc:creator>
  <cp:lastModifiedBy>31409</cp:lastModifiedBy>
  <cp:lastPrinted>2017-03-07T09:05:00Z</cp:lastPrinted>
  <dcterms:modified xsi:type="dcterms:W3CDTF">2017-03-15T08:03:51Z</dcterms:modified>
  <dc:title>机 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